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37E" w:rsidRPr="00F30F56" w:rsidRDefault="008A6E6B" w:rsidP="00F30F56">
      <w:pPr>
        <w:spacing w:before="81"/>
        <w:ind w:right="-24" w:hanging="4"/>
        <w:jc w:val="center"/>
        <w:rPr>
          <w:rFonts w:asciiTheme="majorHAnsi" w:hAnsiTheme="majorHAnsi"/>
          <w:sz w:val="32"/>
          <w:szCs w:val="32"/>
        </w:rPr>
      </w:pPr>
      <w:r>
        <w:rPr>
          <w:rFonts w:asciiTheme="majorHAnsi" w:hAnsiTheme="majorHAnsi"/>
          <w:sz w:val="32"/>
          <w:szCs w:val="32"/>
        </w:rPr>
        <w:t xml:space="preserve">A Novel of </w:t>
      </w:r>
      <w:r w:rsidR="00734AA4">
        <w:rPr>
          <w:rFonts w:asciiTheme="majorHAnsi" w:hAnsiTheme="majorHAnsi"/>
          <w:sz w:val="32"/>
          <w:szCs w:val="32"/>
        </w:rPr>
        <w:t xml:space="preserve">Financial Condition of Indian Economy </w:t>
      </w:r>
    </w:p>
    <w:p w:rsidR="00D42968" w:rsidRPr="00F30F56" w:rsidRDefault="00D42968" w:rsidP="00F30F56">
      <w:pPr>
        <w:spacing w:before="81"/>
        <w:ind w:right="-24" w:hanging="4"/>
        <w:jc w:val="center"/>
        <w:rPr>
          <w:rFonts w:asciiTheme="minorHAnsi" w:hAnsiTheme="minorHAnsi" w:cstheme="minorHAnsi"/>
          <w:b/>
          <w:sz w:val="26"/>
          <w:szCs w:val="26"/>
        </w:rPr>
      </w:pPr>
      <w:r w:rsidRPr="00F30F56">
        <w:rPr>
          <w:rFonts w:asciiTheme="minorHAnsi" w:hAnsiTheme="minorHAnsi" w:cstheme="minorHAnsi"/>
          <w:b/>
          <w:sz w:val="26"/>
          <w:szCs w:val="26"/>
        </w:rPr>
        <w:t>G.RAJITH</w:t>
      </w:r>
      <w:r w:rsidR="005C0DE4">
        <w:rPr>
          <w:rFonts w:asciiTheme="minorHAnsi" w:hAnsiTheme="minorHAnsi" w:cstheme="minorHAnsi"/>
          <w:b/>
          <w:sz w:val="26"/>
          <w:szCs w:val="26"/>
        </w:rPr>
        <w:t>A</w:t>
      </w:r>
    </w:p>
    <w:p w:rsidR="00D42968" w:rsidRPr="00F30F56" w:rsidRDefault="00F30F56" w:rsidP="00F30F56">
      <w:pPr>
        <w:spacing w:before="81"/>
        <w:ind w:right="-24" w:hanging="4"/>
        <w:jc w:val="center"/>
        <w:rPr>
          <w:rFonts w:asciiTheme="minorHAnsi" w:hAnsiTheme="minorHAnsi" w:cstheme="minorHAnsi"/>
        </w:rPr>
      </w:pPr>
      <w:r w:rsidRPr="00F30F56">
        <w:rPr>
          <w:rFonts w:asciiTheme="minorHAnsi" w:hAnsiTheme="minorHAnsi" w:cstheme="minorHAnsi"/>
        </w:rPr>
        <w:t>PG Student, Vivek Vardhini College, Hyderabad, Osmania University</w:t>
      </w:r>
    </w:p>
    <w:p w:rsidR="00F30F56" w:rsidRPr="00F30F56" w:rsidRDefault="00F30F56" w:rsidP="00F30F56">
      <w:pPr>
        <w:rPr>
          <w:sz w:val="24"/>
          <w:szCs w:val="24"/>
        </w:rPr>
      </w:pPr>
    </w:p>
    <w:p w:rsidR="0015237E" w:rsidRPr="00F30F56" w:rsidRDefault="00345ED1" w:rsidP="00F30F56">
      <w:pPr>
        <w:spacing w:before="91"/>
        <w:ind w:right="-24"/>
        <w:jc w:val="both"/>
        <w:rPr>
          <w:sz w:val="24"/>
          <w:szCs w:val="24"/>
        </w:rPr>
      </w:pPr>
      <w:r w:rsidRPr="00F30F56">
        <w:rPr>
          <w:b/>
          <w:sz w:val="24"/>
          <w:szCs w:val="24"/>
        </w:rPr>
        <w:t>Abstract -</w:t>
      </w:r>
      <w:r w:rsidRPr="00F30F56">
        <w:rPr>
          <w:sz w:val="24"/>
          <w:szCs w:val="24"/>
        </w:rPr>
        <w:t>The aim of this article is to explore relative impact of two financial instruments, Broad Money Supply and Share of Stock, on the inflationary pressure in Indian economy. To do so, two separate Financial Condition Index (FCI) are constructed by incorporating these financial instrument variables along with two other monetary variables, namely short term interest rate and foreign exchange rate. The FCIs are then co- related with inflation rate to identify incorporation of which of these two financial variables in FCIyield a better result. It is found out that broad money supply creates greater impact on the financial condition and thereby inflation rate in the context of Indian</w:t>
      </w:r>
      <w:r w:rsidRPr="00F30F56">
        <w:rPr>
          <w:spacing w:val="-1"/>
          <w:sz w:val="24"/>
          <w:szCs w:val="24"/>
        </w:rPr>
        <w:t xml:space="preserve"> </w:t>
      </w:r>
      <w:r w:rsidRPr="00F30F56">
        <w:rPr>
          <w:sz w:val="24"/>
          <w:szCs w:val="24"/>
        </w:rPr>
        <w:t>economy.</w:t>
      </w:r>
    </w:p>
    <w:p w:rsidR="00F30F56" w:rsidRPr="00F30F56" w:rsidRDefault="00345ED1" w:rsidP="00F30F56">
      <w:pPr>
        <w:spacing w:before="161"/>
        <w:ind w:right="-24"/>
        <w:jc w:val="both"/>
        <w:rPr>
          <w:sz w:val="24"/>
          <w:szCs w:val="24"/>
        </w:rPr>
      </w:pPr>
      <w:r w:rsidRPr="00F30F56">
        <w:rPr>
          <w:b/>
          <w:sz w:val="24"/>
          <w:szCs w:val="24"/>
        </w:rPr>
        <w:t>Keywords-</w:t>
      </w:r>
      <w:r w:rsidRPr="00F30F56">
        <w:rPr>
          <w:sz w:val="24"/>
          <w:szCs w:val="24"/>
        </w:rPr>
        <w:t>Financial Condition Index, Inflation Rate, Broad Money Supply, Stock Price.</w:t>
      </w:r>
    </w:p>
    <w:p w:rsidR="00F30F56" w:rsidRPr="00F30F56" w:rsidRDefault="00F30F56" w:rsidP="00F30F56">
      <w:pPr>
        <w:pStyle w:val="Heading1"/>
        <w:spacing w:before="164"/>
        <w:ind w:left="0" w:right="-24"/>
        <w:rPr>
          <w:sz w:val="24"/>
          <w:szCs w:val="24"/>
        </w:rPr>
        <w:sectPr w:rsidR="00F30F56" w:rsidRPr="00F30F56" w:rsidSect="00FF7700">
          <w:headerReference w:type="even" r:id="rId7"/>
          <w:headerReference w:type="default" r:id="rId8"/>
          <w:footerReference w:type="even" r:id="rId9"/>
          <w:footerReference w:type="default" r:id="rId10"/>
          <w:headerReference w:type="first" r:id="rId11"/>
          <w:footerReference w:type="first" r:id="rId12"/>
          <w:pgSz w:w="11910" w:h="16840"/>
          <w:pgMar w:top="1440" w:right="864" w:bottom="864" w:left="1440" w:header="144" w:footer="0" w:gutter="0"/>
          <w:pgNumType w:start="15"/>
          <w:cols w:space="720"/>
          <w:docGrid w:linePitch="299"/>
        </w:sectPr>
      </w:pPr>
    </w:p>
    <w:p w:rsidR="0015237E" w:rsidRPr="00F30F56" w:rsidRDefault="00345ED1" w:rsidP="00F30F56">
      <w:pPr>
        <w:pStyle w:val="Heading1"/>
        <w:spacing w:before="164"/>
        <w:ind w:left="0" w:right="-24"/>
        <w:rPr>
          <w:sz w:val="24"/>
          <w:szCs w:val="24"/>
        </w:rPr>
      </w:pPr>
      <w:r w:rsidRPr="00F30F56">
        <w:rPr>
          <w:sz w:val="24"/>
          <w:szCs w:val="24"/>
        </w:rPr>
        <w:lastRenderedPageBreak/>
        <w:t>I.INTRODUCTION</w:t>
      </w:r>
    </w:p>
    <w:p w:rsidR="0015237E" w:rsidRPr="00F30F56" w:rsidRDefault="00345ED1" w:rsidP="00F30F56">
      <w:pPr>
        <w:pStyle w:val="BodyText"/>
        <w:spacing w:before="157"/>
        <w:ind w:left="0" w:right="-24"/>
        <w:rPr>
          <w:sz w:val="24"/>
          <w:szCs w:val="24"/>
        </w:rPr>
      </w:pPr>
      <w:r w:rsidRPr="00F30F56">
        <w:rPr>
          <w:sz w:val="24"/>
          <w:szCs w:val="24"/>
        </w:rPr>
        <w:t>Until the financial crisis in 2007, it was fairly agreed upon among economists and central banks that economic stability could be ensured through twin regime of inflation targeting and flexible exchange rate (Canuto and Cavallari, 2013). This close relationship between stability and inflation targeting regime created a situation where financial stability was considered as jobof micro prudential authority and supervisory institutions. It was believed that central banks through short term interest rate management could regulate the inflationary pressure and ensure economic stability. The flexible exchange rate, on the other hand, could take care of shocks to the economy that arise from the external sector through an automatic adjustment</w:t>
      </w:r>
      <w:r w:rsidRPr="00F30F56">
        <w:rPr>
          <w:spacing w:val="-2"/>
          <w:sz w:val="24"/>
          <w:szCs w:val="24"/>
        </w:rPr>
        <w:t xml:space="preserve"> </w:t>
      </w:r>
      <w:r w:rsidRPr="00F30F56">
        <w:rPr>
          <w:sz w:val="24"/>
          <w:szCs w:val="24"/>
        </w:rPr>
        <w:t>process.</w:t>
      </w:r>
    </w:p>
    <w:p w:rsidR="0015237E" w:rsidRPr="00F30F56" w:rsidRDefault="00345ED1" w:rsidP="00F30F56">
      <w:pPr>
        <w:pStyle w:val="BodyText"/>
        <w:spacing w:before="161"/>
        <w:ind w:left="0" w:right="-24"/>
        <w:rPr>
          <w:sz w:val="24"/>
          <w:szCs w:val="24"/>
        </w:rPr>
      </w:pPr>
      <w:r w:rsidRPr="00F30F56">
        <w:rPr>
          <w:sz w:val="24"/>
          <w:szCs w:val="24"/>
        </w:rPr>
        <w:t>A minority of the economists had felt that such simple way of implementing monetary policy may be missing some of the important issues of the instability within an economy. In a research paper, Achlain and Klein highlighted the need to incorporate asset prices into measurement of impact of monetary policy as well as designing the same (Achlain and Klein,</w:t>
      </w:r>
      <w:r w:rsidRPr="00F30F56">
        <w:rPr>
          <w:spacing w:val="-2"/>
          <w:sz w:val="24"/>
          <w:szCs w:val="24"/>
        </w:rPr>
        <w:t xml:space="preserve"> </w:t>
      </w:r>
      <w:r w:rsidRPr="00F30F56">
        <w:rPr>
          <w:sz w:val="24"/>
          <w:szCs w:val="24"/>
        </w:rPr>
        <w:t>1973).</w:t>
      </w:r>
    </w:p>
    <w:p w:rsidR="00530B3D" w:rsidRDefault="00345ED1" w:rsidP="00F30F56">
      <w:pPr>
        <w:pStyle w:val="BodyText"/>
        <w:spacing w:before="91"/>
        <w:ind w:left="0" w:right="-24"/>
        <w:rPr>
          <w:sz w:val="24"/>
          <w:szCs w:val="24"/>
        </w:rPr>
      </w:pPr>
      <w:r w:rsidRPr="00F30F56">
        <w:rPr>
          <w:sz w:val="24"/>
          <w:szCs w:val="24"/>
        </w:rPr>
        <w:t xml:space="preserve">The impact of change in the price of house and equity, and thereby the resulting change in wealth of individual, was identified by Modigliani , who also demonstrated how this </w:t>
      </w:r>
    </w:p>
    <w:p w:rsidR="00530B3D" w:rsidRDefault="00530B3D" w:rsidP="00F30F56">
      <w:pPr>
        <w:pStyle w:val="BodyText"/>
        <w:spacing w:before="91"/>
        <w:ind w:left="0" w:right="-24"/>
        <w:rPr>
          <w:sz w:val="24"/>
          <w:szCs w:val="24"/>
        </w:rPr>
      </w:pPr>
    </w:p>
    <w:p w:rsidR="0015237E" w:rsidRPr="00F30F56" w:rsidRDefault="00345ED1" w:rsidP="00F30F56">
      <w:pPr>
        <w:pStyle w:val="BodyText"/>
        <w:spacing w:before="91"/>
        <w:ind w:left="0" w:right="-24"/>
        <w:rPr>
          <w:sz w:val="24"/>
          <w:szCs w:val="24"/>
        </w:rPr>
      </w:pPr>
      <w:r w:rsidRPr="00F30F56">
        <w:rPr>
          <w:sz w:val="24"/>
          <w:szCs w:val="24"/>
        </w:rPr>
        <w:t>„wealth effect‟ can have direct impact in the aggregate demand of the economy and thereby inflationary situation (Modiglinai,1971). This provided a theoretical case for incorporating the asset prices and designing and observing the transmission process of the monetary policy in an economy (Goodhart, 2000). All these development led to creation of Financial Condition Index (FCI), which is increasingly becoming popular among economists and policy makers in studying macroeconomic</w:t>
      </w:r>
      <w:r w:rsidRPr="00F30F56">
        <w:rPr>
          <w:spacing w:val="-1"/>
          <w:sz w:val="24"/>
          <w:szCs w:val="24"/>
        </w:rPr>
        <w:t xml:space="preserve"> </w:t>
      </w:r>
      <w:r w:rsidRPr="00F30F56">
        <w:rPr>
          <w:sz w:val="24"/>
          <w:szCs w:val="24"/>
        </w:rPr>
        <w:t>stability.</w:t>
      </w:r>
    </w:p>
    <w:p w:rsidR="0015237E" w:rsidRPr="00F30F56" w:rsidRDefault="00345ED1" w:rsidP="00F30F56">
      <w:pPr>
        <w:pStyle w:val="BodyText"/>
        <w:spacing w:before="161"/>
        <w:ind w:left="0" w:right="-24"/>
        <w:rPr>
          <w:sz w:val="24"/>
          <w:szCs w:val="24"/>
        </w:rPr>
      </w:pPr>
      <w:r w:rsidRPr="00F30F56">
        <w:rPr>
          <w:sz w:val="24"/>
          <w:szCs w:val="24"/>
        </w:rPr>
        <w:t>Financial conditions can be described as the current state of financial variables that influence economic behaviors and the future state of the economy. A financial condition index (FCI) summarizes the information about the future state of the economy contained in these financial variables (Hatzius et. al., 2010).An ideal FCI measures exogenous changes in financial condition, rather than changes in financial variables that reflect the evolution of the business cycle (Dudley,</w:t>
      </w:r>
      <w:r w:rsidRPr="00F30F56">
        <w:rPr>
          <w:spacing w:val="-3"/>
          <w:sz w:val="24"/>
          <w:szCs w:val="24"/>
        </w:rPr>
        <w:t xml:space="preserve"> </w:t>
      </w:r>
      <w:r w:rsidRPr="00F30F56">
        <w:rPr>
          <w:sz w:val="24"/>
          <w:szCs w:val="24"/>
        </w:rPr>
        <w:t>2010).</w:t>
      </w:r>
    </w:p>
    <w:p w:rsidR="00530B3D" w:rsidRDefault="00345ED1" w:rsidP="00F30F56">
      <w:pPr>
        <w:pStyle w:val="BodyText"/>
        <w:spacing w:before="160"/>
        <w:ind w:left="0" w:right="-24"/>
        <w:rPr>
          <w:sz w:val="24"/>
          <w:szCs w:val="24"/>
        </w:rPr>
      </w:pPr>
      <w:r w:rsidRPr="00F30F56">
        <w:rPr>
          <w:sz w:val="24"/>
          <w:szCs w:val="24"/>
        </w:rPr>
        <w:t xml:space="preserve">The main objective of this paper is to identify between two financial assets, namely Broad Money Supply and Share of Stocks (Equity), which one impact the financial condition and thereby inflation in Indian economy in a more significant way. In order to do so, the author shall develop two separate financial condition </w:t>
      </w:r>
    </w:p>
    <w:p w:rsidR="00530B3D" w:rsidRDefault="00530B3D" w:rsidP="00F30F56">
      <w:pPr>
        <w:pStyle w:val="BodyText"/>
        <w:spacing w:before="160"/>
        <w:ind w:left="0" w:right="-24"/>
        <w:rPr>
          <w:sz w:val="24"/>
          <w:szCs w:val="24"/>
        </w:rPr>
      </w:pPr>
    </w:p>
    <w:p w:rsidR="00530B3D" w:rsidRDefault="00345ED1" w:rsidP="00FF7700">
      <w:pPr>
        <w:pStyle w:val="BodyText"/>
        <w:spacing w:before="160"/>
        <w:ind w:left="0" w:right="-24"/>
        <w:rPr>
          <w:sz w:val="24"/>
          <w:szCs w:val="24"/>
        </w:rPr>
      </w:pPr>
      <w:r w:rsidRPr="00F30F56">
        <w:rPr>
          <w:sz w:val="24"/>
          <w:szCs w:val="24"/>
        </w:rPr>
        <w:t>index (FCI) for Indian economy. The first FCI shall be developed by incorporating the Broad Money Supply, as measured by the World Bank, with two monetary variables, namely short term interest rate and the official exchange rate. The broad money supply in Indian economy acts as a financial variable as one of the main components of it is currency notes and coins with general public. With much of the Indian economy still outside the mainstream financial services, currency notes act as a reliable source of store of value. Changes in broad money supply, therefore, is treated as an exogenous shocks to the financial sector as it impacts the savings of individuals who store their value in form</w:t>
      </w:r>
      <w:r w:rsidRPr="00F30F56">
        <w:rPr>
          <w:spacing w:val="2"/>
          <w:sz w:val="24"/>
          <w:szCs w:val="24"/>
        </w:rPr>
        <w:t xml:space="preserve"> </w:t>
      </w:r>
      <w:r w:rsidRPr="00F30F56">
        <w:rPr>
          <w:sz w:val="24"/>
          <w:szCs w:val="24"/>
        </w:rPr>
        <w:t>of</w:t>
      </w:r>
      <w:r w:rsidR="00530B3D">
        <w:rPr>
          <w:sz w:val="24"/>
          <w:szCs w:val="24"/>
        </w:rPr>
        <w:t xml:space="preserve"> </w:t>
      </w:r>
      <w:r w:rsidRPr="00F30F56">
        <w:rPr>
          <w:sz w:val="24"/>
          <w:szCs w:val="24"/>
        </w:rPr>
        <w:t>currency notes. The growth of M</w:t>
      </w:r>
      <w:r w:rsidRPr="00F30F56">
        <w:rPr>
          <w:sz w:val="24"/>
          <w:szCs w:val="24"/>
          <w:vertAlign w:val="subscript"/>
        </w:rPr>
        <w:t>3</w:t>
      </w:r>
      <w:r w:rsidRPr="00F30F56">
        <w:rPr>
          <w:sz w:val="24"/>
          <w:szCs w:val="24"/>
        </w:rPr>
        <w:t xml:space="preserve"> money supply (Broad money supply) can be treated as one of the potential indicators of future movement in prices within multiple indicators frameworks of the RBI (Ramachandran, 2004). Similar views have been shared by others in their work related to money demand and supply in Indian context like B.B. Bhattacharya (Bhattacharya, 1974) and Ashra, Chattyopadhay and Choudhuri (Ashra, et al., 2004) It is, therefore, it is only logical that a FCI could be constructed in Indian context by incorporating broad money supply (M</w:t>
      </w:r>
      <w:r w:rsidRPr="00F30F56">
        <w:rPr>
          <w:sz w:val="24"/>
          <w:szCs w:val="24"/>
          <w:vertAlign w:val="subscript"/>
        </w:rPr>
        <w:t>3</w:t>
      </w:r>
      <w:r w:rsidRPr="00F30F56">
        <w:rPr>
          <w:sz w:val="24"/>
          <w:szCs w:val="24"/>
        </w:rPr>
        <w:t xml:space="preserve">) along with monetary variables. The co-relationship between FCI created in this fashion with the inflation rate in economy will be explored to see how financial condition and inflation are related to each other.The relationship between equity prices and its impact on the aggregate demand side of the economy is well documented(Modigliani, 1971). A change in the equity price changes the total wealth of the household. With such change, the consumption expenditure from the household sector may increase or decrease depending on whether the price change is favorable or not for the holders of share of stocks. The change in share prices and its consequent impact on the consumption level is known as the „wealth effect‟ in standard literature of macroeconomics. It is therefore, only logical that when an FCI is being </w:t>
      </w:r>
    </w:p>
    <w:p w:rsidR="00530B3D" w:rsidRDefault="00530B3D" w:rsidP="00F30F56">
      <w:pPr>
        <w:pStyle w:val="BodyText"/>
        <w:spacing w:before="1"/>
        <w:ind w:left="0" w:right="-24"/>
        <w:rPr>
          <w:sz w:val="24"/>
          <w:szCs w:val="24"/>
        </w:rPr>
      </w:pPr>
    </w:p>
    <w:p w:rsidR="00530B3D" w:rsidRDefault="00345ED1" w:rsidP="00F30F56">
      <w:pPr>
        <w:pStyle w:val="BodyText"/>
        <w:spacing w:before="1"/>
        <w:ind w:left="0" w:right="-24"/>
        <w:rPr>
          <w:sz w:val="24"/>
          <w:szCs w:val="24"/>
        </w:rPr>
      </w:pPr>
      <w:r w:rsidRPr="00F30F56">
        <w:rPr>
          <w:sz w:val="24"/>
          <w:szCs w:val="24"/>
        </w:rPr>
        <w:t xml:space="preserve">developed for the Indian economy, value of </w:t>
      </w:r>
    </w:p>
    <w:p w:rsidR="0015237E" w:rsidRPr="00F30F56" w:rsidRDefault="00345ED1" w:rsidP="00F30F56">
      <w:pPr>
        <w:pStyle w:val="BodyText"/>
        <w:spacing w:before="1"/>
        <w:ind w:left="0" w:right="-24"/>
        <w:rPr>
          <w:sz w:val="24"/>
          <w:szCs w:val="24"/>
        </w:rPr>
      </w:pPr>
      <w:r w:rsidRPr="00F30F56">
        <w:rPr>
          <w:sz w:val="24"/>
          <w:szCs w:val="24"/>
        </w:rPr>
        <w:t xml:space="preserve">shares traded should become a variable of choice. </w:t>
      </w:r>
      <w:r w:rsidRPr="00F30F56">
        <w:rPr>
          <w:spacing w:val="1"/>
          <w:sz w:val="24"/>
          <w:szCs w:val="24"/>
        </w:rPr>
        <w:t xml:space="preserve">It </w:t>
      </w:r>
      <w:r w:rsidRPr="00F30F56">
        <w:rPr>
          <w:sz w:val="24"/>
          <w:szCs w:val="24"/>
        </w:rPr>
        <w:t>will be interesting to identify the relationship between the FCI thus constructed and inflation rate. The implicit believe here is a change in the aggregate demand caused by an exogenous change in the share values be reflected in the changing inflation rate in the economy, when it is essentially of the nature of demand</w:t>
      </w:r>
      <w:r w:rsidRPr="00F30F56">
        <w:rPr>
          <w:spacing w:val="-2"/>
          <w:sz w:val="24"/>
          <w:szCs w:val="24"/>
        </w:rPr>
        <w:t xml:space="preserve"> </w:t>
      </w:r>
      <w:r w:rsidRPr="00F30F56">
        <w:rPr>
          <w:sz w:val="24"/>
          <w:szCs w:val="24"/>
        </w:rPr>
        <w:t>pull.</w:t>
      </w:r>
    </w:p>
    <w:p w:rsidR="0015237E" w:rsidRPr="00F30F56" w:rsidRDefault="0015237E" w:rsidP="00F30F56">
      <w:pPr>
        <w:pStyle w:val="BodyText"/>
        <w:spacing w:before="5"/>
        <w:ind w:left="0" w:right="-24"/>
        <w:jc w:val="left"/>
        <w:rPr>
          <w:sz w:val="24"/>
          <w:szCs w:val="24"/>
        </w:rPr>
      </w:pPr>
    </w:p>
    <w:p w:rsidR="0015237E" w:rsidRPr="00F30F56" w:rsidRDefault="00345ED1" w:rsidP="00F30F56">
      <w:pPr>
        <w:pStyle w:val="Heading1"/>
        <w:numPr>
          <w:ilvl w:val="0"/>
          <w:numId w:val="2"/>
        </w:numPr>
        <w:tabs>
          <w:tab w:val="left" w:pos="1165"/>
        </w:tabs>
        <w:ind w:left="0" w:right="-24" w:hanging="204"/>
        <w:jc w:val="left"/>
        <w:rPr>
          <w:sz w:val="24"/>
          <w:szCs w:val="24"/>
        </w:rPr>
      </w:pPr>
      <w:r w:rsidRPr="00F30F56">
        <w:rPr>
          <w:sz w:val="24"/>
          <w:szCs w:val="24"/>
        </w:rPr>
        <w:t>DATA AND</w:t>
      </w:r>
      <w:r w:rsidRPr="00F30F56">
        <w:rPr>
          <w:spacing w:val="-2"/>
          <w:sz w:val="24"/>
          <w:szCs w:val="24"/>
        </w:rPr>
        <w:t xml:space="preserve"> </w:t>
      </w:r>
      <w:r w:rsidRPr="00F30F56">
        <w:rPr>
          <w:sz w:val="24"/>
          <w:szCs w:val="24"/>
        </w:rPr>
        <w:t>METHODOLOGY</w:t>
      </w:r>
    </w:p>
    <w:p w:rsidR="0015237E" w:rsidRPr="00F30F56" w:rsidRDefault="0015237E" w:rsidP="00F30F56">
      <w:pPr>
        <w:pStyle w:val="BodyText"/>
        <w:spacing w:before="8"/>
        <w:ind w:left="0" w:right="-24"/>
        <w:jc w:val="left"/>
        <w:rPr>
          <w:b/>
          <w:sz w:val="24"/>
          <w:szCs w:val="24"/>
        </w:rPr>
      </w:pPr>
    </w:p>
    <w:p w:rsidR="0015237E" w:rsidRDefault="00345ED1" w:rsidP="00530B3D">
      <w:pPr>
        <w:pStyle w:val="BodyText"/>
        <w:ind w:left="0" w:right="-24" w:firstLine="50"/>
        <w:rPr>
          <w:sz w:val="24"/>
          <w:szCs w:val="24"/>
        </w:rPr>
      </w:pPr>
      <w:r w:rsidRPr="00F30F56">
        <w:rPr>
          <w:sz w:val="24"/>
          <w:szCs w:val="24"/>
        </w:rPr>
        <w:t>The data collected are secondary in nature and sourced from the World Bank Open Data. The time period taken for this analysis is from 1995 to 2015 because this period represents post liberalization era in India. Two variables, namely the short term interest rate and official exchange rate are to be part of both the FCIs. The financial variable, Value of Shares Traded (Equity), is defined as “the total number of shares traded, both domestic and foreign, multiplied by their respective matching prices. Figures are single counted (only one side of the transaction is considered). Companies admitted to listing and admitted to trading” (World Bank). Broad Money Supply is “the sum of currency outside banks; demand deposits other than those of the central government; the time, savings, and foreign currency deposits of resident sectors other than the central government; bank and</w:t>
      </w:r>
      <w:r w:rsidRPr="00F30F56">
        <w:rPr>
          <w:spacing w:val="-16"/>
          <w:sz w:val="24"/>
          <w:szCs w:val="24"/>
        </w:rPr>
        <w:t xml:space="preserve"> </w:t>
      </w:r>
      <w:r w:rsidRPr="00F30F56">
        <w:rPr>
          <w:sz w:val="24"/>
          <w:szCs w:val="24"/>
        </w:rPr>
        <w:t>traveler‟s</w:t>
      </w:r>
      <w:r w:rsidR="00530B3D">
        <w:rPr>
          <w:sz w:val="24"/>
          <w:szCs w:val="24"/>
        </w:rPr>
        <w:t xml:space="preserve"> </w:t>
      </w:r>
      <w:r w:rsidRPr="00F30F56">
        <w:rPr>
          <w:sz w:val="24"/>
          <w:szCs w:val="24"/>
        </w:rPr>
        <w:t>checks; and other securities such as certificates of deposit and commercial paper “(World Bank)</w:t>
      </w:r>
    </w:p>
    <w:p w:rsidR="00530B3D" w:rsidRPr="00F30F56" w:rsidRDefault="00530B3D" w:rsidP="00530B3D">
      <w:pPr>
        <w:pStyle w:val="BodyText"/>
        <w:ind w:left="0" w:right="-24" w:firstLine="50"/>
        <w:rPr>
          <w:sz w:val="24"/>
          <w:szCs w:val="24"/>
        </w:rPr>
      </w:pPr>
    </w:p>
    <w:p w:rsidR="00530B3D" w:rsidRDefault="00345ED1" w:rsidP="00F30F56">
      <w:pPr>
        <w:pStyle w:val="BodyText"/>
        <w:spacing w:before="2"/>
        <w:ind w:left="0" w:right="-24"/>
        <w:rPr>
          <w:sz w:val="24"/>
          <w:szCs w:val="24"/>
        </w:rPr>
      </w:pPr>
      <w:r w:rsidRPr="00F30F56">
        <w:rPr>
          <w:sz w:val="24"/>
          <w:szCs w:val="24"/>
        </w:rPr>
        <w:t xml:space="preserve">In development of FCIs, weighted sum approach of Goodhart and Hoffman (2002) has been followed. An IS curve estimate has been explored from the time series data of 20 years (1995-2015) taking into consideration variables of immediate interest. Two of them are common for both FCIs, namely, the short term interest rate and official exchange rate. The third variable is the financial variables. While short term rate and official exchange rate are part  of standard Monetary Condition </w:t>
      </w:r>
      <w:r w:rsidRPr="00F30F56">
        <w:rPr>
          <w:sz w:val="24"/>
          <w:szCs w:val="24"/>
        </w:rPr>
        <w:lastRenderedPageBreak/>
        <w:t xml:space="preserve">Index (MCI), the first FCI is developed by </w:t>
      </w:r>
    </w:p>
    <w:p w:rsidR="00530B3D" w:rsidRDefault="00530B3D" w:rsidP="00F30F56">
      <w:pPr>
        <w:pStyle w:val="BodyText"/>
        <w:spacing w:before="2"/>
        <w:ind w:left="0" w:right="-24"/>
        <w:rPr>
          <w:sz w:val="24"/>
          <w:szCs w:val="24"/>
        </w:rPr>
      </w:pPr>
    </w:p>
    <w:p w:rsidR="0015237E" w:rsidRPr="00F30F56" w:rsidRDefault="00345ED1" w:rsidP="00F30F56">
      <w:pPr>
        <w:pStyle w:val="BodyText"/>
        <w:spacing w:before="2"/>
        <w:ind w:left="0" w:right="-24"/>
        <w:rPr>
          <w:sz w:val="24"/>
          <w:szCs w:val="24"/>
        </w:rPr>
      </w:pPr>
      <w:r w:rsidRPr="00F30F56">
        <w:rPr>
          <w:sz w:val="24"/>
          <w:szCs w:val="24"/>
        </w:rPr>
        <w:t>incorporating share value while the second FCI incorporates broad money supply. Inclusion of financial variables in the equation expands the scope of index to capture the indirect development in the stock markets and overall savings of the economy,</w:t>
      </w:r>
      <w:r w:rsidRPr="00F30F56">
        <w:rPr>
          <w:spacing w:val="-8"/>
          <w:sz w:val="24"/>
          <w:szCs w:val="24"/>
        </w:rPr>
        <w:t xml:space="preserve"> </w:t>
      </w:r>
      <w:r w:rsidRPr="00F30F56">
        <w:rPr>
          <w:sz w:val="24"/>
          <w:szCs w:val="24"/>
        </w:rPr>
        <w:t>respectively.</w:t>
      </w:r>
    </w:p>
    <w:p w:rsidR="0015237E" w:rsidRPr="00F30F56" w:rsidRDefault="00345ED1" w:rsidP="00F30F56">
      <w:pPr>
        <w:pStyle w:val="BodyText"/>
        <w:spacing w:before="161" w:line="229" w:lineRule="exact"/>
        <w:ind w:left="0" w:right="-24"/>
        <w:jc w:val="left"/>
        <w:rPr>
          <w:sz w:val="24"/>
          <w:szCs w:val="24"/>
        </w:rPr>
      </w:pPr>
      <w:r w:rsidRPr="00F30F56">
        <w:rPr>
          <w:sz w:val="24"/>
          <w:szCs w:val="24"/>
        </w:rPr>
        <w:t>The equation for estimation is as follows:</w:t>
      </w:r>
    </w:p>
    <w:p w:rsidR="0015237E" w:rsidRPr="00F30F56" w:rsidRDefault="00345ED1" w:rsidP="00F30F56">
      <w:pPr>
        <w:pStyle w:val="BodyText"/>
        <w:tabs>
          <w:tab w:val="left" w:pos="3841"/>
        </w:tabs>
        <w:spacing w:line="408" w:lineRule="auto"/>
        <w:ind w:left="0" w:right="-24"/>
        <w:jc w:val="left"/>
        <w:rPr>
          <w:sz w:val="24"/>
          <w:szCs w:val="24"/>
        </w:rPr>
      </w:pPr>
      <w:r w:rsidRPr="00F30F56">
        <w:rPr>
          <w:sz w:val="24"/>
          <w:szCs w:val="24"/>
        </w:rPr>
        <w:t>Yt = α+β</w:t>
      </w:r>
      <w:r w:rsidRPr="00F30F56">
        <w:rPr>
          <w:sz w:val="24"/>
          <w:szCs w:val="24"/>
          <w:vertAlign w:val="subscript"/>
        </w:rPr>
        <w:t>1</w:t>
      </w:r>
      <w:r w:rsidRPr="00F30F56">
        <w:rPr>
          <w:sz w:val="24"/>
          <w:szCs w:val="24"/>
        </w:rPr>
        <w:t>EXt +β2 R</w:t>
      </w:r>
      <w:r w:rsidRPr="00F30F56">
        <w:rPr>
          <w:sz w:val="24"/>
          <w:szCs w:val="24"/>
          <w:vertAlign w:val="subscript"/>
        </w:rPr>
        <w:t>t</w:t>
      </w:r>
      <w:r w:rsidRPr="00F30F56">
        <w:rPr>
          <w:sz w:val="24"/>
          <w:szCs w:val="24"/>
        </w:rPr>
        <w:t xml:space="preserve"> + β</w:t>
      </w:r>
      <w:r w:rsidRPr="00F30F56">
        <w:rPr>
          <w:sz w:val="24"/>
          <w:szCs w:val="24"/>
          <w:vertAlign w:val="subscript"/>
        </w:rPr>
        <w:t>3</w:t>
      </w:r>
      <w:r w:rsidRPr="00F30F56">
        <w:rPr>
          <w:spacing w:val="-7"/>
          <w:sz w:val="24"/>
          <w:szCs w:val="24"/>
        </w:rPr>
        <w:t xml:space="preserve"> </w:t>
      </w:r>
      <w:r w:rsidRPr="00F30F56">
        <w:rPr>
          <w:sz w:val="24"/>
          <w:szCs w:val="24"/>
        </w:rPr>
        <w:t>F</w:t>
      </w:r>
      <w:r w:rsidRPr="00F30F56">
        <w:rPr>
          <w:sz w:val="24"/>
          <w:szCs w:val="24"/>
          <w:vertAlign w:val="subscript"/>
        </w:rPr>
        <w:t>t</w:t>
      </w:r>
      <w:r w:rsidRPr="00F30F56">
        <w:rPr>
          <w:spacing w:val="-1"/>
          <w:sz w:val="24"/>
          <w:szCs w:val="24"/>
        </w:rPr>
        <w:t xml:space="preserve"> </w:t>
      </w:r>
      <w:r w:rsidRPr="00F30F56">
        <w:rPr>
          <w:sz w:val="24"/>
          <w:szCs w:val="24"/>
        </w:rPr>
        <w:t>+µt</w:t>
      </w:r>
      <w:r w:rsidRPr="00F30F56">
        <w:rPr>
          <w:sz w:val="24"/>
          <w:szCs w:val="24"/>
        </w:rPr>
        <w:tab/>
        <w:t>(1) Where Yt = GDP at the time</w:t>
      </w:r>
      <w:r w:rsidRPr="00F30F56">
        <w:rPr>
          <w:spacing w:val="-1"/>
          <w:sz w:val="24"/>
          <w:szCs w:val="24"/>
        </w:rPr>
        <w:t xml:space="preserve"> </w:t>
      </w:r>
      <w:r w:rsidRPr="00F30F56">
        <w:rPr>
          <w:sz w:val="24"/>
          <w:szCs w:val="24"/>
        </w:rPr>
        <w:t>t</w:t>
      </w:r>
    </w:p>
    <w:p w:rsidR="0015237E" w:rsidRPr="00F30F56" w:rsidRDefault="00345ED1" w:rsidP="00F30F56">
      <w:pPr>
        <w:pStyle w:val="BodyText"/>
        <w:ind w:left="0" w:right="-24"/>
        <w:rPr>
          <w:sz w:val="24"/>
          <w:szCs w:val="24"/>
        </w:rPr>
      </w:pPr>
      <w:r w:rsidRPr="00F30F56">
        <w:rPr>
          <w:sz w:val="24"/>
          <w:szCs w:val="24"/>
        </w:rPr>
        <w:t>R</w:t>
      </w:r>
      <w:r w:rsidRPr="00F30F56">
        <w:rPr>
          <w:sz w:val="24"/>
          <w:szCs w:val="24"/>
          <w:vertAlign w:val="subscript"/>
        </w:rPr>
        <w:t>t</w:t>
      </w:r>
      <w:r w:rsidRPr="00F30F56">
        <w:rPr>
          <w:sz w:val="24"/>
          <w:szCs w:val="24"/>
        </w:rPr>
        <w:t xml:space="preserve"> = Rate of Interest (Inflation adjusted short term rate of interest) at time t</w:t>
      </w:r>
    </w:p>
    <w:p w:rsidR="0015237E" w:rsidRPr="00F30F56" w:rsidRDefault="00345ED1" w:rsidP="00F30F56">
      <w:pPr>
        <w:pStyle w:val="BodyText"/>
        <w:spacing w:before="158" w:line="229" w:lineRule="exact"/>
        <w:ind w:left="0" w:right="-24"/>
        <w:jc w:val="left"/>
        <w:rPr>
          <w:sz w:val="24"/>
          <w:szCs w:val="24"/>
        </w:rPr>
      </w:pPr>
      <w:r w:rsidRPr="00F30F56">
        <w:rPr>
          <w:sz w:val="24"/>
          <w:szCs w:val="24"/>
        </w:rPr>
        <w:t>EX</w:t>
      </w:r>
      <w:r w:rsidRPr="00F30F56">
        <w:rPr>
          <w:sz w:val="24"/>
          <w:szCs w:val="24"/>
          <w:vertAlign w:val="subscript"/>
        </w:rPr>
        <w:t>t</w:t>
      </w:r>
      <w:r w:rsidRPr="00F30F56">
        <w:rPr>
          <w:sz w:val="24"/>
          <w:szCs w:val="24"/>
        </w:rPr>
        <w:t xml:space="preserve"> = Official Exchange Rate (adjusted against</w:t>
      </w:r>
    </w:p>
    <w:p w:rsidR="0015237E" w:rsidRPr="00F30F56" w:rsidRDefault="00345ED1" w:rsidP="00F30F56">
      <w:pPr>
        <w:pStyle w:val="BodyText"/>
        <w:spacing w:line="229" w:lineRule="exact"/>
        <w:ind w:left="0" w:right="-24"/>
        <w:rPr>
          <w:sz w:val="24"/>
          <w:szCs w:val="24"/>
        </w:rPr>
      </w:pPr>
      <w:r w:rsidRPr="00F30F56">
        <w:rPr>
          <w:sz w:val="24"/>
          <w:szCs w:val="24"/>
        </w:rPr>
        <w:t>U.S. Dollar)</w:t>
      </w:r>
    </w:p>
    <w:p w:rsidR="0015237E" w:rsidRPr="00F30F56" w:rsidRDefault="00345ED1" w:rsidP="00F30F56">
      <w:pPr>
        <w:pStyle w:val="BodyText"/>
        <w:spacing w:before="162"/>
        <w:ind w:left="0" w:right="-24"/>
        <w:rPr>
          <w:sz w:val="24"/>
          <w:szCs w:val="24"/>
        </w:rPr>
      </w:pPr>
      <w:r w:rsidRPr="00F30F56">
        <w:rPr>
          <w:sz w:val="24"/>
          <w:szCs w:val="24"/>
        </w:rPr>
        <w:t>F</w:t>
      </w:r>
      <w:r w:rsidRPr="00F30F56">
        <w:rPr>
          <w:sz w:val="24"/>
          <w:szCs w:val="24"/>
          <w:vertAlign w:val="subscript"/>
        </w:rPr>
        <w:t>t</w:t>
      </w:r>
      <w:r w:rsidRPr="00F30F56">
        <w:rPr>
          <w:sz w:val="24"/>
          <w:szCs w:val="24"/>
        </w:rPr>
        <w:t xml:space="preserve"> = value of share traded at time period t/ Broad Money (M</w:t>
      </w:r>
      <w:r w:rsidRPr="00F30F56">
        <w:rPr>
          <w:sz w:val="24"/>
          <w:szCs w:val="24"/>
          <w:vertAlign w:val="subscript"/>
        </w:rPr>
        <w:t>3</w:t>
      </w:r>
      <w:r w:rsidRPr="00F30F56">
        <w:rPr>
          <w:sz w:val="24"/>
          <w:szCs w:val="24"/>
        </w:rPr>
        <w:t>) Supply at time period t</w:t>
      </w:r>
    </w:p>
    <w:p w:rsidR="0015237E" w:rsidRPr="00F30F56" w:rsidRDefault="00345ED1" w:rsidP="00F30F56">
      <w:pPr>
        <w:pStyle w:val="BodyText"/>
        <w:spacing w:before="159"/>
        <w:ind w:left="0" w:right="-24"/>
        <w:rPr>
          <w:sz w:val="24"/>
          <w:szCs w:val="24"/>
        </w:rPr>
      </w:pPr>
      <w:r w:rsidRPr="00F30F56">
        <w:rPr>
          <w:sz w:val="24"/>
          <w:szCs w:val="24"/>
        </w:rPr>
        <w:t>Construction of the Financial Condition Index:From the estimate, the financial condition index for India has been constructed following weighted sum</w:t>
      </w:r>
      <w:r w:rsidRPr="00F30F56">
        <w:rPr>
          <w:spacing w:val="-2"/>
          <w:sz w:val="24"/>
          <w:szCs w:val="24"/>
        </w:rPr>
        <w:t xml:space="preserve"> </w:t>
      </w:r>
      <w:r w:rsidRPr="00F30F56">
        <w:rPr>
          <w:sz w:val="24"/>
          <w:szCs w:val="24"/>
        </w:rPr>
        <w:t>approach:</w:t>
      </w:r>
    </w:p>
    <w:p w:rsidR="0015237E" w:rsidRPr="00F30F56" w:rsidRDefault="00345ED1" w:rsidP="00F30F56">
      <w:pPr>
        <w:pStyle w:val="BodyText"/>
        <w:tabs>
          <w:tab w:val="left" w:pos="3841"/>
        </w:tabs>
        <w:spacing w:before="160"/>
        <w:ind w:left="0" w:right="-24"/>
        <w:jc w:val="left"/>
        <w:rPr>
          <w:sz w:val="24"/>
          <w:szCs w:val="24"/>
        </w:rPr>
      </w:pPr>
      <w:r w:rsidRPr="00F30F56">
        <w:rPr>
          <w:sz w:val="24"/>
          <w:szCs w:val="24"/>
        </w:rPr>
        <w:t>FCI</w:t>
      </w:r>
      <w:r w:rsidRPr="00F30F56">
        <w:rPr>
          <w:sz w:val="24"/>
          <w:szCs w:val="24"/>
          <w:vertAlign w:val="subscript"/>
        </w:rPr>
        <w:t>t</w:t>
      </w:r>
      <w:r w:rsidRPr="00F30F56">
        <w:rPr>
          <w:sz w:val="24"/>
          <w:szCs w:val="24"/>
        </w:rPr>
        <w:t xml:space="preserve"> =∑</w:t>
      </w:r>
      <w:r w:rsidRPr="00F30F56">
        <w:rPr>
          <w:spacing w:val="-3"/>
          <w:sz w:val="24"/>
          <w:szCs w:val="24"/>
        </w:rPr>
        <w:t xml:space="preserve"> </w:t>
      </w:r>
      <w:r w:rsidRPr="00F30F56">
        <w:rPr>
          <w:sz w:val="24"/>
          <w:szCs w:val="24"/>
        </w:rPr>
        <w:t>W</w:t>
      </w:r>
      <w:r w:rsidRPr="00F30F56">
        <w:rPr>
          <w:sz w:val="24"/>
          <w:szCs w:val="24"/>
          <w:vertAlign w:val="subscript"/>
        </w:rPr>
        <w:t>it</w:t>
      </w:r>
      <w:r w:rsidRPr="00F30F56">
        <w:rPr>
          <w:spacing w:val="-2"/>
          <w:sz w:val="24"/>
          <w:szCs w:val="24"/>
        </w:rPr>
        <w:t xml:space="preserve"> </w:t>
      </w:r>
      <w:r w:rsidRPr="00F30F56">
        <w:rPr>
          <w:sz w:val="24"/>
          <w:szCs w:val="24"/>
        </w:rPr>
        <w:t>(ᴦ</w:t>
      </w:r>
      <w:r w:rsidRPr="00F30F56">
        <w:rPr>
          <w:sz w:val="24"/>
          <w:szCs w:val="24"/>
          <w:vertAlign w:val="subscript"/>
        </w:rPr>
        <w:t>it</w:t>
      </w:r>
      <w:r w:rsidRPr="00F30F56">
        <w:rPr>
          <w:sz w:val="24"/>
          <w:szCs w:val="24"/>
        </w:rPr>
        <w:t>)</w:t>
      </w:r>
      <w:r w:rsidRPr="00F30F56">
        <w:rPr>
          <w:sz w:val="24"/>
          <w:szCs w:val="24"/>
        </w:rPr>
        <w:tab/>
        <w:t>(2)</w:t>
      </w:r>
    </w:p>
    <w:p w:rsidR="0015237E" w:rsidRPr="00F30F56" w:rsidRDefault="00345ED1" w:rsidP="00F30F56">
      <w:pPr>
        <w:pStyle w:val="BodyText"/>
        <w:spacing w:before="162"/>
        <w:ind w:left="0" w:right="-24"/>
        <w:rPr>
          <w:sz w:val="24"/>
          <w:szCs w:val="24"/>
        </w:rPr>
      </w:pPr>
      <w:r w:rsidRPr="00F30F56">
        <w:rPr>
          <w:sz w:val="24"/>
          <w:szCs w:val="24"/>
        </w:rPr>
        <w:t>Here the weights (W</w:t>
      </w:r>
      <w:r w:rsidRPr="00F30F56">
        <w:rPr>
          <w:sz w:val="24"/>
          <w:szCs w:val="24"/>
          <w:vertAlign w:val="subscript"/>
        </w:rPr>
        <w:t>it</w:t>
      </w:r>
      <w:r w:rsidRPr="00F30F56">
        <w:rPr>
          <w:sz w:val="24"/>
          <w:szCs w:val="24"/>
        </w:rPr>
        <w:t>) have been assigned on the basis of relative impact of (ᴦ</w:t>
      </w:r>
      <w:r w:rsidRPr="00F30F56">
        <w:rPr>
          <w:sz w:val="24"/>
          <w:szCs w:val="24"/>
          <w:vertAlign w:val="subscript"/>
        </w:rPr>
        <w:t>it</w:t>
      </w:r>
      <w:r w:rsidRPr="00F30F56">
        <w:rPr>
          <w:sz w:val="24"/>
          <w:szCs w:val="24"/>
        </w:rPr>
        <w:t>), which is real rate of interest, official exchange rate and value of shares traded/ broad money supply, on the aggregate demand. It is important to note here that the weights of real rate of interest (W</w:t>
      </w:r>
      <w:r w:rsidRPr="00F30F56">
        <w:rPr>
          <w:sz w:val="24"/>
          <w:szCs w:val="24"/>
          <w:vertAlign w:val="subscript"/>
        </w:rPr>
        <w:t>r</w:t>
      </w:r>
      <w:r w:rsidRPr="00F30F56">
        <w:rPr>
          <w:sz w:val="24"/>
          <w:szCs w:val="24"/>
        </w:rPr>
        <w:t>), official exchange rate (W</w:t>
      </w:r>
      <w:r w:rsidRPr="00F30F56">
        <w:rPr>
          <w:sz w:val="24"/>
          <w:szCs w:val="24"/>
          <w:vertAlign w:val="subscript"/>
        </w:rPr>
        <w:t>ex</w:t>
      </w:r>
      <w:r w:rsidRPr="00F30F56">
        <w:rPr>
          <w:sz w:val="24"/>
          <w:szCs w:val="24"/>
        </w:rPr>
        <w:t>) and value of share traded/Broad Money Supply (W</w:t>
      </w:r>
      <w:r w:rsidRPr="00F30F56">
        <w:rPr>
          <w:sz w:val="24"/>
          <w:szCs w:val="24"/>
          <w:vertAlign w:val="subscript"/>
        </w:rPr>
        <w:t>f</w:t>
      </w:r>
      <w:r w:rsidRPr="00F30F56">
        <w:rPr>
          <w:sz w:val="24"/>
          <w:szCs w:val="24"/>
        </w:rPr>
        <w:t>) add up to one and has been calculated from the coefficient of equation (1) which equals:</w:t>
      </w:r>
    </w:p>
    <w:p w:rsidR="0015237E" w:rsidRPr="00F30F56" w:rsidRDefault="00345ED1" w:rsidP="00F30F56">
      <w:pPr>
        <w:pStyle w:val="BodyText"/>
        <w:spacing w:before="160"/>
        <w:ind w:left="0" w:right="-24"/>
        <w:rPr>
          <w:sz w:val="24"/>
          <w:szCs w:val="24"/>
        </w:rPr>
      </w:pPr>
      <w:r w:rsidRPr="00F30F56">
        <w:rPr>
          <w:sz w:val="24"/>
          <w:szCs w:val="24"/>
        </w:rPr>
        <w:t>W</w:t>
      </w:r>
      <w:r w:rsidRPr="00F30F56">
        <w:rPr>
          <w:sz w:val="24"/>
          <w:szCs w:val="24"/>
          <w:vertAlign w:val="subscript"/>
        </w:rPr>
        <w:t>ex</w:t>
      </w:r>
      <w:r w:rsidRPr="00F30F56">
        <w:rPr>
          <w:sz w:val="24"/>
          <w:szCs w:val="24"/>
        </w:rPr>
        <w:t>=|β1|/ (|β1|+|β2|+|β3|), W</w:t>
      </w:r>
      <w:r w:rsidRPr="00F30F56">
        <w:rPr>
          <w:sz w:val="24"/>
          <w:szCs w:val="24"/>
          <w:vertAlign w:val="subscript"/>
        </w:rPr>
        <w:t>r</w:t>
      </w:r>
      <w:r w:rsidRPr="00F30F56">
        <w:rPr>
          <w:sz w:val="24"/>
          <w:szCs w:val="24"/>
        </w:rPr>
        <w:t>=|β2|/ (|β1|+|β2|+|β3|) and W</w:t>
      </w:r>
      <w:r w:rsidRPr="00F30F56">
        <w:rPr>
          <w:sz w:val="24"/>
          <w:szCs w:val="24"/>
          <w:vertAlign w:val="subscript"/>
        </w:rPr>
        <w:t>f</w:t>
      </w:r>
      <w:r w:rsidRPr="00F30F56">
        <w:rPr>
          <w:sz w:val="24"/>
          <w:szCs w:val="24"/>
        </w:rPr>
        <w:t>=|β3|/ (|β1|+|β2|+|β3|)</w:t>
      </w:r>
    </w:p>
    <w:p w:rsidR="00530B3D" w:rsidRDefault="00345ED1" w:rsidP="00530B3D">
      <w:pPr>
        <w:pStyle w:val="BodyText"/>
        <w:spacing w:before="160"/>
        <w:ind w:left="0" w:right="-24"/>
        <w:rPr>
          <w:sz w:val="24"/>
          <w:szCs w:val="24"/>
        </w:rPr>
      </w:pPr>
      <w:r w:rsidRPr="00F30F56">
        <w:rPr>
          <w:sz w:val="24"/>
          <w:szCs w:val="24"/>
        </w:rPr>
        <w:t xml:space="preserve">An FCI that includes financial asset prices along with short term rate of interest, should demonstrate greater volatility in explaining the inflation rate variation. To identify between the two financial variables which one impact the financial condition and thereby greater volatility in more significant way, the two FCIs constructed are made to run a test </w:t>
      </w:r>
      <w:r w:rsidRPr="00F30F56">
        <w:rPr>
          <w:sz w:val="24"/>
          <w:szCs w:val="24"/>
        </w:rPr>
        <w:lastRenderedPageBreak/>
        <w:t>against the inflation rate. In this article, consumer price index (CPI) for the time</w:t>
      </w:r>
      <w:r w:rsidRPr="00F30F56">
        <w:rPr>
          <w:spacing w:val="18"/>
          <w:sz w:val="24"/>
          <w:szCs w:val="24"/>
        </w:rPr>
        <w:t xml:space="preserve"> </w:t>
      </w:r>
      <w:r w:rsidRPr="00F30F56">
        <w:rPr>
          <w:sz w:val="24"/>
          <w:szCs w:val="24"/>
        </w:rPr>
        <w:t>period</w:t>
      </w:r>
      <w:r w:rsidR="00F30F56" w:rsidRPr="00F30F56">
        <w:rPr>
          <w:sz w:val="24"/>
          <w:szCs w:val="24"/>
        </w:rPr>
        <w:t xml:space="preserve"> </w:t>
      </w:r>
      <w:r w:rsidRPr="00F30F56">
        <w:rPr>
          <w:sz w:val="24"/>
          <w:szCs w:val="24"/>
        </w:rPr>
        <w:t xml:space="preserve">between 1995 and 2015 has been used </w:t>
      </w:r>
    </w:p>
    <w:p w:rsidR="00530B3D" w:rsidRDefault="00530B3D" w:rsidP="00530B3D">
      <w:pPr>
        <w:pStyle w:val="BodyText"/>
        <w:spacing w:before="160"/>
        <w:ind w:left="0" w:right="-24"/>
        <w:rPr>
          <w:sz w:val="24"/>
          <w:szCs w:val="24"/>
        </w:rPr>
      </w:pPr>
    </w:p>
    <w:p w:rsidR="0015237E" w:rsidRPr="00F30F56" w:rsidRDefault="00345ED1" w:rsidP="00530B3D">
      <w:pPr>
        <w:pStyle w:val="BodyText"/>
        <w:spacing w:before="160"/>
        <w:ind w:left="0" w:right="-24"/>
        <w:rPr>
          <w:sz w:val="24"/>
          <w:szCs w:val="24"/>
        </w:rPr>
      </w:pPr>
      <w:r w:rsidRPr="00F30F56">
        <w:rPr>
          <w:sz w:val="24"/>
          <w:szCs w:val="24"/>
        </w:rPr>
        <w:t>for this purpose.</w:t>
      </w:r>
    </w:p>
    <w:p w:rsidR="0015237E" w:rsidRPr="00F30F56" w:rsidRDefault="00345ED1" w:rsidP="00F30F56">
      <w:pPr>
        <w:pStyle w:val="Heading1"/>
        <w:numPr>
          <w:ilvl w:val="0"/>
          <w:numId w:val="2"/>
        </w:numPr>
        <w:tabs>
          <w:tab w:val="left" w:pos="1177"/>
        </w:tabs>
        <w:spacing w:before="142"/>
        <w:ind w:left="0" w:right="-24" w:hanging="281"/>
        <w:jc w:val="left"/>
        <w:rPr>
          <w:sz w:val="24"/>
          <w:szCs w:val="24"/>
        </w:rPr>
      </w:pPr>
      <w:r w:rsidRPr="00F30F56">
        <w:rPr>
          <w:sz w:val="24"/>
          <w:szCs w:val="24"/>
        </w:rPr>
        <w:t>RESULT AND</w:t>
      </w:r>
      <w:r w:rsidRPr="00F30F56">
        <w:rPr>
          <w:spacing w:val="-2"/>
          <w:sz w:val="24"/>
          <w:szCs w:val="24"/>
        </w:rPr>
        <w:t xml:space="preserve"> </w:t>
      </w:r>
      <w:r w:rsidRPr="00F30F56">
        <w:rPr>
          <w:sz w:val="24"/>
          <w:szCs w:val="24"/>
        </w:rPr>
        <w:t>DISCUSSION</w:t>
      </w:r>
    </w:p>
    <w:p w:rsidR="0015237E" w:rsidRPr="00F30F56" w:rsidRDefault="00345ED1" w:rsidP="00F30F56">
      <w:pPr>
        <w:pStyle w:val="BodyText"/>
        <w:spacing w:before="157"/>
        <w:ind w:left="0" w:right="-24"/>
        <w:rPr>
          <w:sz w:val="24"/>
          <w:szCs w:val="24"/>
        </w:rPr>
      </w:pPr>
      <w:r w:rsidRPr="00F30F56">
        <w:rPr>
          <w:sz w:val="24"/>
          <w:szCs w:val="24"/>
        </w:rPr>
        <w:t>The main objective of this article is to compare the impact of financial variables in influencing the inflationary pressure in Indian economy. The FCIs, which have constructed by incorporating financial variable with two common monetary variables could be a useful instrument in doing so. By comparing their co-relation with the inflation rate (as measured through CPI) one can identify which of them are more significant. The following tables are generated after the variables have been estimated and tested against inflation rate.</w:t>
      </w:r>
    </w:p>
    <w:p w:rsidR="0015237E" w:rsidRPr="00F30F56" w:rsidRDefault="00345ED1" w:rsidP="00F30F56">
      <w:pPr>
        <w:spacing w:before="162"/>
        <w:ind w:right="-24"/>
        <w:jc w:val="both"/>
        <w:rPr>
          <w:b/>
          <w:sz w:val="24"/>
          <w:szCs w:val="24"/>
        </w:rPr>
      </w:pPr>
      <w:r w:rsidRPr="00F30F56">
        <w:rPr>
          <w:b/>
          <w:sz w:val="24"/>
          <w:szCs w:val="24"/>
        </w:rPr>
        <w:t>Table 1.1: Correlation between Financial Condition Index (FCI) obtained with Consumer Price Index (CPI): When the Financial Variable is Broad Money Supply (1995-2015)</w:t>
      </w:r>
    </w:p>
    <w:p w:rsidR="0015237E" w:rsidRPr="00F30F56" w:rsidRDefault="0015237E" w:rsidP="00F30F56">
      <w:pPr>
        <w:pStyle w:val="BodyText"/>
        <w:spacing w:before="6"/>
        <w:ind w:left="0" w:right="-24"/>
        <w:jc w:val="left"/>
        <w:rPr>
          <w:b/>
          <w:sz w:val="24"/>
          <w:szCs w:val="24"/>
        </w:rPr>
      </w:pPr>
    </w:p>
    <w:tbl>
      <w:tblPr>
        <w:tblW w:w="4401" w:type="dxa"/>
        <w:tblInd w:w="1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558"/>
        <w:gridCol w:w="2385"/>
        <w:gridCol w:w="766"/>
        <w:gridCol w:w="692"/>
      </w:tblGrid>
      <w:tr w:rsidR="0015237E" w:rsidRPr="00F30F56" w:rsidTr="00530B3D">
        <w:trPr>
          <w:trHeight w:val="364"/>
        </w:trPr>
        <w:tc>
          <w:tcPr>
            <w:tcW w:w="2943" w:type="dxa"/>
            <w:gridSpan w:val="2"/>
          </w:tcPr>
          <w:p w:rsidR="0015237E" w:rsidRPr="00F30F56" w:rsidRDefault="00345ED1" w:rsidP="00F30F56">
            <w:pPr>
              <w:pStyle w:val="TableParagraph"/>
              <w:spacing w:before="22"/>
              <w:ind w:right="-24"/>
              <w:rPr>
                <w:b/>
                <w:sz w:val="24"/>
                <w:szCs w:val="24"/>
              </w:rPr>
            </w:pPr>
            <w:r w:rsidRPr="00F30F56">
              <w:rPr>
                <w:b/>
                <w:sz w:val="24"/>
                <w:szCs w:val="24"/>
              </w:rPr>
              <w:t>Correlations</w:t>
            </w:r>
          </w:p>
        </w:tc>
        <w:tc>
          <w:tcPr>
            <w:tcW w:w="766" w:type="dxa"/>
            <w:tcBorders>
              <w:right w:val="single" w:sz="8" w:space="0" w:color="000000"/>
            </w:tcBorders>
          </w:tcPr>
          <w:p w:rsidR="0015237E" w:rsidRPr="00F30F56" w:rsidRDefault="00345ED1" w:rsidP="00F30F56">
            <w:pPr>
              <w:pStyle w:val="TableParagraph"/>
              <w:spacing w:before="49"/>
              <w:ind w:right="-24"/>
              <w:rPr>
                <w:sz w:val="24"/>
                <w:szCs w:val="24"/>
              </w:rPr>
            </w:pPr>
            <w:r w:rsidRPr="00F30F56">
              <w:rPr>
                <w:sz w:val="24"/>
                <w:szCs w:val="24"/>
              </w:rPr>
              <w:t>CPI</w:t>
            </w:r>
          </w:p>
        </w:tc>
        <w:tc>
          <w:tcPr>
            <w:tcW w:w="692" w:type="dxa"/>
            <w:tcBorders>
              <w:left w:val="single" w:sz="8" w:space="0" w:color="000000"/>
            </w:tcBorders>
          </w:tcPr>
          <w:p w:rsidR="0015237E" w:rsidRPr="00F30F56" w:rsidRDefault="00345ED1" w:rsidP="00F30F56">
            <w:pPr>
              <w:pStyle w:val="TableParagraph"/>
              <w:spacing w:before="48"/>
              <w:ind w:right="-24"/>
              <w:rPr>
                <w:sz w:val="24"/>
                <w:szCs w:val="24"/>
              </w:rPr>
            </w:pPr>
            <w:r w:rsidRPr="00F30F56">
              <w:rPr>
                <w:position w:val="2"/>
                <w:sz w:val="24"/>
                <w:szCs w:val="24"/>
              </w:rPr>
              <w:t>FCI</w:t>
            </w:r>
            <w:r w:rsidRPr="00F30F56">
              <w:rPr>
                <w:position w:val="2"/>
                <w:sz w:val="24"/>
                <w:szCs w:val="24"/>
                <w:vertAlign w:val="subscript"/>
              </w:rPr>
              <w:t>BM</w:t>
            </w:r>
          </w:p>
        </w:tc>
      </w:tr>
      <w:tr w:rsidR="0015237E" w:rsidRPr="00F30F56" w:rsidTr="00530B3D">
        <w:trPr>
          <w:trHeight w:val="302"/>
        </w:trPr>
        <w:tc>
          <w:tcPr>
            <w:tcW w:w="558" w:type="dxa"/>
            <w:tcBorders>
              <w:bottom w:val="nil"/>
              <w:right w:val="nil"/>
            </w:tcBorders>
          </w:tcPr>
          <w:p w:rsidR="0015237E" w:rsidRPr="00F30F56" w:rsidRDefault="00345ED1" w:rsidP="00F30F56">
            <w:pPr>
              <w:pStyle w:val="TableParagraph"/>
              <w:spacing w:line="222" w:lineRule="exact"/>
              <w:ind w:right="-24"/>
              <w:rPr>
                <w:sz w:val="24"/>
                <w:szCs w:val="24"/>
              </w:rPr>
            </w:pPr>
            <w:r w:rsidRPr="00F30F56">
              <w:rPr>
                <w:sz w:val="24"/>
                <w:szCs w:val="24"/>
              </w:rPr>
              <w:t>CPI</w:t>
            </w:r>
          </w:p>
        </w:tc>
        <w:tc>
          <w:tcPr>
            <w:tcW w:w="2384" w:type="dxa"/>
            <w:tcBorders>
              <w:left w:val="nil"/>
              <w:bottom w:val="nil"/>
            </w:tcBorders>
          </w:tcPr>
          <w:p w:rsidR="0015237E" w:rsidRPr="00F30F56" w:rsidRDefault="00345ED1" w:rsidP="00F30F56">
            <w:pPr>
              <w:pStyle w:val="TableParagraph"/>
              <w:spacing w:line="178" w:lineRule="exact"/>
              <w:ind w:right="-24"/>
              <w:rPr>
                <w:sz w:val="24"/>
                <w:szCs w:val="24"/>
              </w:rPr>
            </w:pPr>
            <w:r w:rsidRPr="00F30F56">
              <w:rPr>
                <w:sz w:val="24"/>
                <w:szCs w:val="24"/>
              </w:rPr>
              <w:t>Pearson Correlation</w:t>
            </w:r>
          </w:p>
        </w:tc>
        <w:tc>
          <w:tcPr>
            <w:tcW w:w="766" w:type="dxa"/>
            <w:tcBorders>
              <w:bottom w:val="nil"/>
              <w:right w:val="single" w:sz="8" w:space="0" w:color="000000"/>
            </w:tcBorders>
          </w:tcPr>
          <w:p w:rsidR="0015237E" w:rsidRPr="00F30F56" w:rsidRDefault="00345ED1" w:rsidP="00F30F56">
            <w:pPr>
              <w:pStyle w:val="TableParagraph"/>
              <w:spacing w:line="178" w:lineRule="exact"/>
              <w:ind w:right="-24"/>
              <w:jc w:val="center"/>
              <w:rPr>
                <w:sz w:val="24"/>
                <w:szCs w:val="24"/>
              </w:rPr>
            </w:pPr>
            <w:r w:rsidRPr="00F30F56">
              <w:rPr>
                <w:sz w:val="24"/>
                <w:szCs w:val="24"/>
              </w:rPr>
              <w:t>1</w:t>
            </w:r>
          </w:p>
        </w:tc>
        <w:tc>
          <w:tcPr>
            <w:tcW w:w="692" w:type="dxa"/>
            <w:tcBorders>
              <w:left w:val="single" w:sz="8" w:space="0" w:color="000000"/>
              <w:bottom w:val="nil"/>
            </w:tcBorders>
          </w:tcPr>
          <w:p w:rsidR="0015237E" w:rsidRPr="00F30F56" w:rsidRDefault="00345ED1" w:rsidP="00F30F56">
            <w:pPr>
              <w:pStyle w:val="TableParagraph"/>
              <w:spacing w:line="178" w:lineRule="exact"/>
              <w:ind w:right="-24"/>
              <w:rPr>
                <w:sz w:val="24"/>
                <w:szCs w:val="24"/>
              </w:rPr>
            </w:pPr>
            <w:r w:rsidRPr="00F30F56">
              <w:rPr>
                <w:sz w:val="24"/>
                <w:szCs w:val="24"/>
              </w:rPr>
              <w:t>.523</w:t>
            </w:r>
            <w:r w:rsidRPr="00F30F56">
              <w:rPr>
                <w:sz w:val="24"/>
                <w:szCs w:val="24"/>
                <w:vertAlign w:val="superscript"/>
              </w:rPr>
              <w:t>*</w:t>
            </w:r>
          </w:p>
        </w:tc>
      </w:tr>
      <w:tr w:rsidR="0015237E" w:rsidRPr="00F30F56" w:rsidTr="00530B3D">
        <w:trPr>
          <w:trHeight w:val="400"/>
        </w:trPr>
        <w:tc>
          <w:tcPr>
            <w:tcW w:w="558" w:type="dxa"/>
            <w:tcBorders>
              <w:top w:val="nil"/>
              <w:bottom w:val="nil"/>
              <w:right w:val="nil"/>
            </w:tcBorders>
          </w:tcPr>
          <w:p w:rsidR="0015237E" w:rsidRPr="00F30F56" w:rsidRDefault="0015237E" w:rsidP="00F30F56">
            <w:pPr>
              <w:pStyle w:val="TableParagraph"/>
              <w:ind w:right="-24"/>
              <w:rPr>
                <w:sz w:val="24"/>
                <w:szCs w:val="24"/>
              </w:rPr>
            </w:pPr>
          </w:p>
        </w:tc>
        <w:tc>
          <w:tcPr>
            <w:tcW w:w="2384" w:type="dxa"/>
            <w:tcBorders>
              <w:top w:val="nil"/>
              <w:left w:val="nil"/>
              <w:bottom w:val="nil"/>
            </w:tcBorders>
          </w:tcPr>
          <w:p w:rsidR="0015237E" w:rsidRPr="00F30F56" w:rsidRDefault="00345ED1" w:rsidP="00F30F56">
            <w:pPr>
              <w:pStyle w:val="TableParagraph"/>
              <w:spacing w:before="106"/>
              <w:ind w:right="-24"/>
              <w:rPr>
                <w:sz w:val="24"/>
                <w:szCs w:val="24"/>
              </w:rPr>
            </w:pPr>
            <w:r w:rsidRPr="00F30F56">
              <w:rPr>
                <w:sz w:val="24"/>
                <w:szCs w:val="24"/>
              </w:rPr>
              <w:t>Sig. (2-tailed)</w:t>
            </w:r>
          </w:p>
        </w:tc>
        <w:tc>
          <w:tcPr>
            <w:tcW w:w="766" w:type="dxa"/>
            <w:tcBorders>
              <w:top w:val="nil"/>
              <w:bottom w:val="nil"/>
              <w:right w:val="single" w:sz="8" w:space="0" w:color="000000"/>
            </w:tcBorders>
          </w:tcPr>
          <w:p w:rsidR="0015237E" w:rsidRPr="00F30F56" w:rsidRDefault="0015237E" w:rsidP="00F30F56">
            <w:pPr>
              <w:pStyle w:val="TableParagraph"/>
              <w:ind w:right="-24"/>
              <w:rPr>
                <w:sz w:val="24"/>
                <w:szCs w:val="24"/>
              </w:rPr>
            </w:pPr>
          </w:p>
        </w:tc>
        <w:tc>
          <w:tcPr>
            <w:tcW w:w="692" w:type="dxa"/>
            <w:tcBorders>
              <w:top w:val="nil"/>
              <w:left w:val="single" w:sz="8" w:space="0" w:color="000000"/>
              <w:bottom w:val="nil"/>
            </w:tcBorders>
          </w:tcPr>
          <w:p w:rsidR="0015237E" w:rsidRPr="00F30F56" w:rsidRDefault="00345ED1" w:rsidP="00F30F56">
            <w:pPr>
              <w:pStyle w:val="TableParagraph"/>
              <w:spacing w:before="106"/>
              <w:ind w:right="-24"/>
              <w:rPr>
                <w:sz w:val="24"/>
                <w:szCs w:val="24"/>
              </w:rPr>
            </w:pPr>
            <w:r w:rsidRPr="00F30F56">
              <w:rPr>
                <w:sz w:val="24"/>
                <w:szCs w:val="24"/>
              </w:rPr>
              <w:t>.018</w:t>
            </w:r>
          </w:p>
        </w:tc>
      </w:tr>
      <w:tr w:rsidR="0015237E" w:rsidRPr="00F30F56" w:rsidTr="00530B3D">
        <w:trPr>
          <w:trHeight w:val="449"/>
        </w:trPr>
        <w:tc>
          <w:tcPr>
            <w:tcW w:w="558" w:type="dxa"/>
            <w:tcBorders>
              <w:top w:val="nil"/>
              <w:bottom w:val="single" w:sz="8" w:space="0" w:color="000000"/>
              <w:right w:val="nil"/>
            </w:tcBorders>
          </w:tcPr>
          <w:p w:rsidR="0015237E" w:rsidRPr="00F30F56" w:rsidRDefault="0015237E" w:rsidP="00F30F56">
            <w:pPr>
              <w:pStyle w:val="TableParagraph"/>
              <w:ind w:right="-24"/>
              <w:rPr>
                <w:sz w:val="24"/>
                <w:szCs w:val="24"/>
              </w:rPr>
            </w:pPr>
          </w:p>
        </w:tc>
        <w:tc>
          <w:tcPr>
            <w:tcW w:w="2384" w:type="dxa"/>
            <w:tcBorders>
              <w:top w:val="nil"/>
              <w:left w:val="nil"/>
              <w:bottom w:val="single" w:sz="8" w:space="0" w:color="000000"/>
            </w:tcBorders>
          </w:tcPr>
          <w:p w:rsidR="0015237E" w:rsidRPr="00F30F56" w:rsidRDefault="00345ED1" w:rsidP="00F30F56">
            <w:pPr>
              <w:pStyle w:val="TableParagraph"/>
              <w:spacing w:before="147"/>
              <w:ind w:right="-24"/>
              <w:rPr>
                <w:sz w:val="24"/>
                <w:szCs w:val="24"/>
              </w:rPr>
            </w:pPr>
            <w:r w:rsidRPr="00F30F56">
              <w:rPr>
                <w:sz w:val="24"/>
                <w:szCs w:val="24"/>
              </w:rPr>
              <w:t>N</w:t>
            </w:r>
          </w:p>
        </w:tc>
        <w:tc>
          <w:tcPr>
            <w:tcW w:w="766" w:type="dxa"/>
            <w:tcBorders>
              <w:top w:val="nil"/>
              <w:bottom w:val="single" w:sz="8" w:space="0" w:color="000000"/>
              <w:right w:val="single" w:sz="8" w:space="0" w:color="000000"/>
            </w:tcBorders>
          </w:tcPr>
          <w:p w:rsidR="0015237E" w:rsidRPr="00F30F56" w:rsidRDefault="00345ED1" w:rsidP="00F30F56">
            <w:pPr>
              <w:pStyle w:val="TableParagraph"/>
              <w:spacing w:before="147"/>
              <w:ind w:right="-24"/>
              <w:jc w:val="right"/>
              <w:rPr>
                <w:sz w:val="24"/>
                <w:szCs w:val="24"/>
              </w:rPr>
            </w:pPr>
            <w:r w:rsidRPr="00F30F56">
              <w:rPr>
                <w:sz w:val="24"/>
                <w:szCs w:val="24"/>
              </w:rPr>
              <w:t>20</w:t>
            </w:r>
          </w:p>
        </w:tc>
        <w:tc>
          <w:tcPr>
            <w:tcW w:w="692" w:type="dxa"/>
            <w:tcBorders>
              <w:top w:val="nil"/>
              <w:left w:val="single" w:sz="8" w:space="0" w:color="000000"/>
              <w:bottom w:val="single" w:sz="8" w:space="0" w:color="000000"/>
            </w:tcBorders>
          </w:tcPr>
          <w:p w:rsidR="0015237E" w:rsidRPr="00F30F56" w:rsidRDefault="00345ED1" w:rsidP="00F30F56">
            <w:pPr>
              <w:pStyle w:val="TableParagraph"/>
              <w:spacing w:before="147"/>
              <w:ind w:right="-24"/>
              <w:jc w:val="center"/>
              <w:rPr>
                <w:sz w:val="24"/>
                <w:szCs w:val="24"/>
              </w:rPr>
            </w:pPr>
            <w:r w:rsidRPr="00F30F56">
              <w:rPr>
                <w:sz w:val="24"/>
                <w:szCs w:val="24"/>
              </w:rPr>
              <w:t>20</w:t>
            </w:r>
          </w:p>
        </w:tc>
      </w:tr>
      <w:tr w:rsidR="0015237E" w:rsidRPr="00F30F56" w:rsidTr="00530B3D">
        <w:trPr>
          <w:trHeight w:val="313"/>
        </w:trPr>
        <w:tc>
          <w:tcPr>
            <w:tcW w:w="558" w:type="dxa"/>
            <w:tcBorders>
              <w:top w:val="single" w:sz="8" w:space="0" w:color="000000"/>
              <w:bottom w:val="nil"/>
              <w:right w:val="nil"/>
            </w:tcBorders>
          </w:tcPr>
          <w:p w:rsidR="0015237E" w:rsidRPr="00F30F56" w:rsidRDefault="00345ED1" w:rsidP="00F30F56">
            <w:pPr>
              <w:pStyle w:val="TableParagraph"/>
              <w:spacing w:line="223" w:lineRule="exact"/>
              <w:ind w:right="-24"/>
              <w:rPr>
                <w:sz w:val="24"/>
                <w:szCs w:val="24"/>
              </w:rPr>
            </w:pPr>
            <w:r w:rsidRPr="00F30F56">
              <w:rPr>
                <w:w w:val="95"/>
                <w:sz w:val="24"/>
                <w:szCs w:val="24"/>
              </w:rPr>
              <w:t>FCI</w:t>
            </w:r>
            <w:r w:rsidRPr="00F30F56">
              <w:rPr>
                <w:w w:val="95"/>
                <w:sz w:val="24"/>
                <w:szCs w:val="24"/>
                <w:vertAlign w:val="subscript"/>
              </w:rPr>
              <w:t>BM</w:t>
            </w:r>
          </w:p>
        </w:tc>
        <w:tc>
          <w:tcPr>
            <w:tcW w:w="2384" w:type="dxa"/>
            <w:tcBorders>
              <w:top w:val="single" w:sz="8" w:space="0" w:color="000000"/>
              <w:left w:val="nil"/>
              <w:bottom w:val="nil"/>
            </w:tcBorders>
          </w:tcPr>
          <w:p w:rsidR="0015237E" w:rsidRPr="00F30F56" w:rsidRDefault="00345ED1" w:rsidP="00F30F56">
            <w:pPr>
              <w:pStyle w:val="TableParagraph"/>
              <w:spacing w:line="178" w:lineRule="exact"/>
              <w:ind w:right="-24"/>
              <w:rPr>
                <w:sz w:val="24"/>
                <w:szCs w:val="24"/>
              </w:rPr>
            </w:pPr>
            <w:r w:rsidRPr="00F30F56">
              <w:rPr>
                <w:sz w:val="24"/>
                <w:szCs w:val="24"/>
              </w:rPr>
              <w:t>Pearson Correlation</w:t>
            </w:r>
          </w:p>
        </w:tc>
        <w:tc>
          <w:tcPr>
            <w:tcW w:w="766" w:type="dxa"/>
            <w:tcBorders>
              <w:top w:val="single" w:sz="8" w:space="0" w:color="000000"/>
              <w:bottom w:val="nil"/>
              <w:right w:val="single" w:sz="8" w:space="0" w:color="000000"/>
            </w:tcBorders>
          </w:tcPr>
          <w:p w:rsidR="0015237E" w:rsidRPr="00F30F56" w:rsidRDefault="00345ED1" w:rsidP="00F30F56">
            <w:pPr>
              <w:pStyle w:val="TableParagraph"/>
              <w:spacing w:line="178" w:lineRule="exact"/>
              <w:ind w:right="-24"/>
              <w:jc w:val="right"/>
              <w:rPr>
                <w:sz w:val="24"/>
                <w:szCs w:val="24"/>
              </w:rPr>
            </w:pPr>
            <w:r w:rsidRPr="00F30F56">
              <w:rPr>
                <w:sz w:val="24"/>
                <w:szCs w:val="24"/>
              </w:rPr>
              <w:t>.523</w:t>
            </w:r>
            <w:r w:rsidRPr="00F30F56">
              <w:rPr>
                <w:sz w:val="24"/>
                <w:szCs w:val="24"/>
                <w:vertAlign w:val="superscript"/>
              </w:rPr>
              <w:t>*</w:t>
            </w:r>
          </w:p>
        </w:tc>
        <w:tc>
          <w:tcPr>
            <w:tcW w:w="692" w:type="dxa"/>
            <w:tcBorders>
              <w:top w:val="single" w:sz="8" w:space="0" w:color="000000"/>
              <w:left w:val="single" w:sz="8" w:space="0" w:color="000000"/>
              <w:bottom w:val="nil"/>
            </w:tcBorders>
          </w:tcPr>
          <w:p w:rsidR="0015237E" w:rsidRPr="00F30F56" w:rsidRDefault="00345ED1" w:rsidP="00F30F56">
            <w:pPr>
              <w:pStyle w:val="TableParagraph"/>
              <w:spacing w:line="178" w:lineRule="exact"/>
              <w:ind w:right="-24"/>
              <w:jc w:val="center"/>
              <w:rPr>
                <w:sz w:val="24"/>
                <w:szCs w:val="24"/>
              </w:rPr>
            </w:pPr>
            <w:r w:rsidRPr="00F30F56">
              <w:rPr>
                <w:sz w:val="24"/>
                <w:szCs w:val="24"/>
              </w:rPr>
              <w:t>1</w:t>
            </w:r>
          </w:p>
        </w:tc>
      </w:tr>
      <w:tr w:rsidR="0015237E" w:rsidRPr="00F30F56" w:rsidTr="00530B3D">
        <w:trPr>
          <w:trHeight w:val="399"/>
        </w:trPr>
        <w:tc>
          <w:tcPr>
            <w:tcW w:w="558" w:type="dxa"/>
            <w:tcBorders>
              <w:top w:val="nil"/>
              <w:bottom w:val="nil"/>
              <w:right w:val="nil"/>
            </w:tcBorders>
          </w:tcPr>
          <w:p w:rsidR="0015237E" w:rsidRPr="00F30F56" w:rsidRDefault="0015237E" w:rsidP="00F30F56">
            <w:pPr>
              <w:pStyle w:val="TableParagraph"/>
              <w:ind w:right="-24"/>
              <w:rPr>
                <w:sz w:val="24"/>
                <w:szCs w:val="24"/>
              </w:rPr>
            </w:pPr>
          </w:p>
        </w:tc>
        <w:tc>
          <w:tcPr>
            <w:tcW w:w="2384" w:type="dxa"/>
            <w:tcBorders>
              <w:top w:val="nil"/>
              <w:left w:val="nil"/>
              <w:bottom w:val="nil"/>
            </w:tcBorders>
          </w:tcPr>
          <w:p w:rsidR="0015237E" w:rsidRPr="00F30F56" w:rsidRDefault="00345ED1" w:rsidP="00F30F56">
            <w:pPr>
              <w:pStyle w:val="TableParagraph"/>
              <w:spacing w:before="103"/>
              <w:ind w:right="-24"/>
              <w:rPr>
                <w:sz w:val="24"/>
                <w:szCs w:val="24"/>
              </w:rPr>
            </w:pPr>
            <w:r w:rsidRPr="00F30F56">
              <w:rPr>
                <w:sz w:val="24"/>
                <w:szCs w:val="24"/>
              </w:rPr>
              <w:t>Sig. (2-tailed)</w:t>
            </w:r>
          </w:p>
        </w:tc>
        <w:tc>
          <w:tcPr>
            <w:tcW w:w="766" w:type="dxa"/>
            <w:tcBorders>
              <w:top w:val="nil"/>
              <w:bottom w:val="nil"/>
              <w:right w:val="single" w:sz="8" w:space="0" w:color="000000"/>
            </w:tcBorders>
          </w:tcPr>
          <w:p w:rsidR="0015237E" w:rsidRPr="00F30F56" w:rsidRDefault="00345ED1" w:rsidP="00F30F56">
            <w:pPr>
              <w:pStyle w:val="TableParagraph"/>
              <w:spacing w:before="103"/>
              <w:ind w:right="-24"/>
              <w:jc w:val="right"/>
              <w:rPr>
                <w:sz w:val="24"/>
                <w:szCs w:val="24"/>
              </w:rPr>
            </w:pPr>
            <w:r w:rsidRPr="00F30F56">
              <w:rPr>
                <w:sz w:val="24"/>
                <w:szCs w:val="24"/>
              </w:rPr>
              <w:t>.018</w:t>
            </w:r>
          </w:p>
        </w:tc>
        <w:tc>
          <w:tcPr>
            <w:tcW w:w="692" w:type="dxa"/>
            <w:tcBorders>
              <w:top w:val="nil"/>
              <w:left w:val="single" w:sz="8" w:space="0" w:color="000000"/>
              <w:bottom w:val="nil"/>
            </w:tcBorders>
          </w:tcPr>
          <w:p w:rsidR="0015237E" w:rsidRPr="00F30F56" w:rsidRDefault="0015237E" w:rsidP="00F30F56">
            <w:pPr>
              <w:pStyle w:val="TableParagraph"/>
              <w:ind w:right="-24"/>
              <w:rPr>
                <w:sz w:val="24"/>
                <w:szCs w:val="24"/>
              </w:rPr>
            </w:pPr>
          </w:p>
        </w:tc>
      </w:tr>
      <w:tr w:rsidR="0015237E" w:rsidRPr="00F30F56" w:rsidTr="00530B3D">
        <w:trPr>
          <w:trHeight w:val="445"/>
        </w:trPr>
        <w:tc>
          <w:tcPr>
            <w:tcW w:w="558" w:type="dxa"/>
            <w:tcBorders>
              <w:top w:val="nil"/>
              <w:right w:val="nil"/>
            </w:tcBorders>
          </w:tcPr>
          <w:p w:rsidR="0015237E" w:rsidRPr="00F30F56" w:rsidRDefault="0015237E" w:rsidP="00F30F56">
            <w:pPr>
              <w:pStyle w:val="TableParagraph"/>
              <w:ind w:right="-24"/>
              <w:rPr>
                <w:sz w:val="24"/>
                <w:szCs w:val="24"/>
              </w:rPr>
            </w:pPr>
          </w:p>
        </w:tc>
        <w:tc>
          <w:tcPr>
            <w:tcW w:w="2384" w:type="dxa"/>
            <w:tcBorders>
              <w:top w:val="nil"/>
              <w:left w:val="nil"/>
            </w:tcBorders>
          </w:tcPr>
          <w:p w:rsidR="0015237E" w:rsidRPr="00F30F56" w:rsidRDefault="00345ED1" w:rsidP="00F30F56">
            <w:pPr>
              <w:pStyle w:val="TableParagraph"/>
              <w:spacing w:before="148"/>
              <w:ind w:right="-24"/>
              <w:rPr>
                <w:sz w:val="24"/>
                <w:szCs w:val="24"/>
              </w:rPr>
            </w:pPr>
            <w:r w:rsidRPr="00F30F56">
              <w:rPr>
                <w:sz w:val="24"/>
                <w:szCs w:val="24"/>
              </w:rPr>
              <w:t>N</w:t>
            </w:r>
          </w:p>
        </w:tc>
        <w:tc>
          <w:tcPr>
            <w:tcW w:w="766" w:type="dxa"/>
            <w:tcBorders>
              <w:top w:val="nil"/>
              <w:right w:val="single" w:sz="8" w:space="0" w:color="000000"/>
            </w:tcBorders>
          </w:tcPr>
          <w:p w:rsidR="0015237E" w:rsidRPr="00F30F56" w:rsidRDefault="00345ED1" w:rsidP="00F30F56">
            <w:pPr>
              <w:pStyle w:val="TableParagraph"/>
              <w:spacing w:before="148"/>
              <w:ind w:right="-24"/>
              <w:jc w:val="right"/>
              <w:rPr>
                <w:sz w:val="24"/>
                <w:szCs w:val="24"/>
              </w:rPr>
            </w:pPr>
            <w:r w:rsidRPr="00F30F56">
              <w:rPr>
                <w:sz w:val="24"/>
                <w:szCs w:val="24"/>
              </w:rPr>
              <w:t>20</w:t>
            </w:r>
          </w:p>
        </w:tc>
        <w:tc>
          <w:tcPr>
            <w:tcW w:w="692" w:type="dxa"/>
            <w:tcBorders>
              <w:top w:val="nil"/>
              <w:left w:val="single" w:sz="8" w:space="0" w:color="000000"/>
            </w:tcBorders>
          </w:tcPr>
          <w:p w:rsidR="0015237E" w:rsidRPr="00F30F56" w:rsidRDefault="00345ED1" w:rsidP="00F30F56">
            <w:pPr>
              <w:pStyle w:val="TableParagraph"/>
              <w:spacing w:before="148"/>
              <w:ind w:right="-24"/>
              <w:jc w:val="center"/>
              <w:rPr>
                <w:sz w:val="24"/>
                <w:szCs w:val="24"/>
              </w:rPr>
            </w:pPr>
            <w:r w:rsidRPr="00F30F56">
              <w:rPr>
                <w:sz w:val="24"/>
                <w:szCs w:val="24"/>
              </w:rPr>
              <w:t>20</w:t>
            </w:r>
          </w:p>
        </w:tc>
      </w:tr>
      <w:tr w:rsidR="0015237E" w:rsidRPr="00F30F56" w:rsidTr="00530B3D">
        <w:trPr>
          <w:trHeight w:val="160"/>
        </w:trPr>
        <w:tc>
          <w:tcPr>
            <w:tcW w:w="4401" w:type="dxa"/>
            <w:gridSpan w:val="4"/>
            <w:tcBorders>
              <w:left w:val="nil"/>
              <w:bottom w:val="nil"/>
              <w:right w:val="nil"/>
            </w:tcBorders>
          </w:tcPr>
          <w:p w:rsidR="00530B3D" w:rsidRDefault="00530B3D" w:rsidP="00F30F56">
            <w:pPr>
              <w:pStyle w:val="TableParagraph"/>
              <w:spacing w:line="158" w:lineRule="exact"/>
              <w:ind w:right="-24"/>
              <w:rPr>
                <w:sz w:val="24"/>
                <w:szCs w:val="24"/>
              </w:rPr>
            </w:pPr>
          </w:p>
          <w:p w:rsidR="0015237E" w:rsidRPr="00F30F56" w:rsidRDefault="00345ED1" w:rsidP="00F30F56">
            <w:pPr>
              <w:pStyle w:val="TableParagraph"/>
              <w:spacing w:line="158" w:lineRule="exact"/>
              <w:ind w:right="-24"/>
              <w:rPr>
                <w:sz w:val="24"/>
                <w:szCs w:val="24"/>
              </w:rPr>
            </w:pPr>
            <w:r w:rsidRPr="00F30F56">
              <w:rPr>
                <w:sz w:val="24"/>
                <w:szCs w:val="24"/>
              </w:rPr>
              <w:t>*. Correlation is significant at the 0.05 level (2-tailed).</w:t>
            </w:r>
          </w:p>
        </w:tc>
      </w:tr>
    </w:tbl>
    <w:p w:rsidR="0015237E" w:rsidRPr="00F30F56" w:rsidRDefault="0015237E" w:rsidP="00F30F56">
      <w:pPr>
        <w:pStyle w:val="BodyText"/>
        <w:spacing w:before="5"/>
        <w:ind w:left="0" w:right="-24"/>
        <w:jc w:val="left"/>
        <w:rPr>
          <w:b/>
          <w:sz w:val="24"/>
          <w:szCs w:val="24"/>
        </w:rPr>
      </w:pPr>
    </w:p>
    <w:p w:rsidR="0015237E" w:rsidRPr="00F30F56" w:rsidRDefault="00345ED1" w:rsidP="00F30F56">
      <w:pPr>
        <w:ind w:right="-24"/>
        <w:rPr>
          <w:sz w:val="24"/>
          <w:szCs w:val="24"/>
        </w:rPr>
      </w:pPr>
      <w:r w:rsidRPr="00F30F56">
        <w:rPr>
          <w:sz w:val="24"/>
          <w:szCs w:val="24"/>
        </w:rPr>
        <w:t>CPI Data Source: World Bank Open Data (www.worldbank.org)</w:t>
      </w:r>
    </w:p>
    <w:p w:rsidR="0015237E" w:rsidRPr="00F30F56" w:rsidRDefault="00345ED1" w:rsidP="00F30F56">
      <w:pPr>
        <w:pStyle w:val="BodyText"/>
        <w:spacing w:before="158"/>
        <w:ind w:left="0" w:right="-24"/>
        <w:rPr>
          <w:sz w:val="24"/>
          <w:szCs w:val="24"/>
        </w:rPr>
      </w:pPr>
      <w:r w:rsidRPr="00F30F56">
        <w:rPr>
          <w:sz w:val="24"/>
          <w:szCs w:val="24"/>
        </w:rPr>
        <w:t xml:space="preserve">In table 1.1, the Pearson‟s coefficient of correlation is obtained between the FCI (constructed by incorporating broad money supply along with two monetary variables) and CPI. The value of the coefficient (0.523) shows that there is a positive and moderately </w:t>
      </w:r>
      <w:r w:rsidRPr="00F30F56">
        <w:rPr>
          <w:sz w:val="24"/>
          <w:szCs w:val="24"/>
        </w:rPr>
        <w:lastRenderedPageBreak/>
        <w:t>strong correlation exists between FCI and the CPI in this analysis. The above result confirms the idea that construction of FCI incorporating Broad Money Supply, would provide a noticeable co-relationship with inflation rate. A change in the broad money supply, may impact the aggregate demand side of the economy, and result in change the inflation rate. Broad money supply captures the developments in the banking sector as well other financial transaction that are driven by currency</w:t>
      </w:r>
      <w:r w:rsidRPr="00F30F56">
        <w:rPr>
          <w:spacing w:val="-2"/>
          <w:sz w:val="24"/>
          <w:szCs w:val="24"/>
        </w:rPr>
        <w:t xml:space="preserve"> </w:t>
      </w:r>
      <w:r w:rsidRPr="00F30F56">
        <w:rPr>
          <w:sz w:val="24"/>
          <w:szCs w:val="24"/>
        </w:rPr>
        <w:t>notes.</w:t>
      </w:r>
    </w:p>
    <w:p w:rsidR="0015237E" w:rsidRPr="00F30F56" w:rsidRDefault="00345ED1" w:rsidP="00F30F56">
      <w:pPr>
        <w:spacing w:before="84"/>
        <w:ind w:right="-24"/>
        <w:jc w:val="both"/>
        <w:rPr>
          <w:b/>
          <w:sz w:val="24"/>
          <w:szCs w:val="24"/>
        </w:rPr>
      </w:pPr>
      <w:r w:rsidRPr="00F30F56">
        <w:rPr>
          <w:b/>
          <w:sz w:val="24"/>
          <w:szCs w:val="24"/>
        </w:rPr>
        <w:t>Table 1.2. Correlation between Financial Condition Index (FCI) obtained with Consumer Price Index (CPI): When FCI is constructed by incorporating Stock Prices (1995- 2015)</w:t>
      </w:r>
    </w:p>
    <w:p w:rsidR="0015237E" w:rsidRPr="00F30F56" w:rsidRDefault="0015237E" w:rsidP="00F30F56">
      <w:pPr>
        <w:pStyle w:val="BodyText"/>
        <w:spacing w:before="1" w:after="1"/>
        <w:ind w:left="0" w:right="-24"/>
        <w:jc w:val="left"/>
        <w:rPr>
          <w:b/>
          <w:sz w:val="24"/>
          <w:szCs w:val="24"/>
        </w:rPr>
      </w:pPr>
    </w:p>
    <w:tbl>
      <w:tblPr>
        <w:tblW w:w="0" w:type="auto"/>
        <w:tblInd w:w="3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545"/>
        <w:gridCol w:w="1774"/>
        <w:gridCol w:w="859"/>
        <w:gridCol w:w="857"/>
      </w:tblGrid>
      <w:tr w:rsidR="0015237E" w:rsidRPr="00F30F56">
        <w:trPr>
          <w:trHeight w:val="257"/>
        </w:trPr>
        <w:tc>
          <w:tcPr>
            <w:tcW w:w="2319" w:type="dxa"/>
            <w:gridSpan w:val="2"/>
          </w:tcPr>
          <w:p w:rsidR="0015237E" w:rsidRPr="00F30F56" w:rsidRDefault="00345ED1" w:rsidP="00F30F56">
            <w:pPr>
              <w:pStyle w:val="TableParagraph"/>
              <w:spacing w:before="73" w:line="164" w:lineRule="exact"/>
              <w:ind w:right="-24"/>
              <w:rPr>
                <w:b/>
                <w:sz w:val="24"/>
                <w:szCs w:val="24"/>
              </w:rPr>
            </w:pPr>
            <w:r w:rsidRPr="00F30F56">
              <w:rPr>
                <w:b/>
                <w:sz w:val="24"/>
                <w:szCs w:val="24"/>
              </w:rPr>
              <w:t>Correlations</w:t>
            </w:r>
          </w:p>
        </w:tc>
        <w:tc>
          <w:tcPr>
            <w:tcW w:w="859" w:type="dxa"/>
            <w:tcBorders>
              <w:right w:val="single" w:sz="8" w:space="0" w:color="000000"/>
            </w:tcBorders>
          </w:tcPr>
          <w:p w:rsidR="0015237E" w:rsidRPr="00F30F56" w:rsidRDefault="00345ED1" w:rsidP="00F30F56">
            <w:pPr>
              <w:pStyle w:val="TableParagraph"/>
              <w:spacing w:before="70" w:line="167" w:lineRule="exact"/>
              <w:ind w:right="-24"/>
              <w:rPr>
                <w:sz w:val="24"/>
                <w:szCs w:val="24"/>
              </w:rPr>
            </w:pPr>
            <w:r w:rsidRPr="00F30F56">
              <w:rPr>
                <w:sz w:val="24"/>
                <w:szCs w:val="24"/>
              </w:rPr>
              <w:t>CPI</w:t>
            </w:r>
          </w:p>
        </w:tc>
        <w:tc>
          <w:tcPr>
            <w:tcW w:w="857" w:type="dxa"/>
            <w:tcBorders>
              <w:left w:val="single" w:sz="8" w:space="0" w:color="000000"/>
            </w:tcBorders>
          </w:tcPr>
          <w:p w:rsidR="0015237E" w:rsidRPr="00F30F56" w:rsidRDefault="00345ED1" w:rsidP="00F30F56">
            <w:pPr>
              <w:pStyle w:val="TableParagraph"/>
              <w:spacing w:before="70" w:line="167" w:lineRule="exact"/>
              <w:ind w:right="-24"/>
              <w:rPr>
                <w:sz w:val="24"/>
                <w:szCs w:val="24"/>
              </w:rPr>
            </w:pPr>
            <w:r w:rsidRPr="00F30F56">
              <w:rPr>
                <w:sz w:val="24"/>
                <w:szCs w:val="24"/>
              </w:rPr>
              <w:t>FCIst</w:t>
            </w:r>
          </w:p>
        </w:tc>
      </w:tr>
      <w:tr w:rsidR="0015237E" w:rsidRPr="00F30F56">
        <w:trPr>
          <w:trHeight w:val="453"/>
        </w:trPr>
        <w:tc>
          <w:tcPr>
            <w:tcW w:w="545" w:type="dxa"/>
            <w:tcBorders>
              <w:bottom w:val="nil"/>
              <w:right w:val="nil"/>
            </w:tcBorders>
          </w:tcPr>
          <w:p w:rsidR="0015237E" w:rsidRPr="00F30F56" w:rsidRDefault="00345ED1" w:rsidP="00F30F56">
            <w:pPr>
              <w:pStyle w:val="TableParagraph"/>
              <w:spacing w:line="220" w:lineRule="exact"/>
              <w:ind w:right="-24"/>
              <w:rPr>
                <w:sz w:val="24"/>
                <w:szCs w:val="24"/>
              </w:rPr>
            </w:pPr>
            <w:r w:rsidRPr="00F30F56">
              <w:rPr>
                <w:sz w:val="24"/>
                <w:szCs w:val="24"/>
              </w:rPr>
              <w:t>CPI</w:t>
            </w:r>
          </w:p>
        </w:tc>
        <w:tc>
          <w:tcPr>
            <w:tcW w:w="1774" w:type="dxa"/>
            <w:tcBorders>
              <w:left w:val="nil"/>
              <w:bottom w:val="nil"/>
            </w:tcBorders>
          </w:tcPr>
          <w:p w:rsidR="0015237E" w:rsidRPr="00F30F56" w:rsidRDefault="00345ED1" w:rsidP="00F30F56">
            <w:pPr>
              <w:pStyle w:val="TableParagraph"/>
              <w:spacing w:line="175" w:lineRule="exact"/>
              <w:ind w:right="-24"/>
              <w:rPr>
                <w:sz w:val="24"/>
                <w:szCs w:val="24"/>
              </w:rPr>
            </w:pPr>
            <w:r w:rsidRPr="00F30F56">
              <w:rPr>
                <w:sz w:val="24"/>
                <w:szCs w:val="24"/>
              </w:rPr>
              <w:t>Pearson Correlation</w:t>
            </w:r>
          </w:p>
        </w:tc>
        <w:tc>
          <w:tcPr>
            <w:tcW w:w="859" w:type="dxa"/>
            <w:tcBorders>
              <w:bottom w:val="nil"/>
              <w:right w:val="single" w:sz="8" w:space="0" w:color="000000"/>
            </w:tcBorders>
          </w:tcPr>
          <w:p w:rsidR="0015237E" w:rsidRPr="00F30F56" w:rsidRDefault="00345ED1" w:rsidP="00F30F56">
            <w:pPr>
              <w:pStyle w:val="TableParagraph"/>
              <w:spacing w:before="161"/>
              <w:ind w:right="-24"/>
              <w:rPr>
                <w:sz w:val="24"/>
                <w:szCs w:val="24"/>
              </w:rPr>
            </w:pPr>
            <w:r w:rsidRPr="00F30F56">
              <w:rPr>
                <w:sz w:val="24"/>
                <w:szCs w:val="24"/>
              </w:rPr>
              <w:t>1</w:t>
            </w:r>
          </w:p>
        </w:tc>
        <w:tc>
          <w:tcPr>
            <w:tcW w:w="857" w:type="dxa"/>
            <w:tcBorders>
              <w:left w:val="single" w:sz="8" w:space="0" w:color="000000"/>
              <w:bottom w:val="nil"/>
            </w:tcBorders>
          </w:tcPr>
          <w:p w:rsidR="0015237E" w:rsidRPr="00F30F56" w:rsidRDefault="00345ED1" w:rsidP="00F30F56">
            <w:pPr>
              <w:pStyle w:val="TableParagraph"/>
              <w:spacing w:before="161"/>
              <w:ind w:right="-24"/>
              <w:rPr>
                <w:sz w:val="24"/>
                <w:szCs w:val="24"/>
              </w:rPr>
            </w:pPr>
            <w:r w:rsidRPr="00F30F56">
              <w:rPr>
                <w:sz w:val="24"/>
                <w:szCs w:val="24"/>
              </w:rPr>
              <w:t>-.179</w:t>
            </w:r>
          </w:p>
        </w:tc>
      </w:tr>
      <w:tr w:rsidR="0015237E" w:rsidRPr="00F30F56">
        <w:trPr>
          <w:trHeight w:val="387"/>
        </w:trPr>
        <w:tc>
          <w:tcPr>
            <w:tcW w:w="545" w:type="dxa"/>
            <w:tcBorders>
              <w:top w:val="nil"/>
              <w:bottom w:val="nil"/>
              <w:right w:val="nil"/>
            </w:tcBorders>
          </w:tcPr>
          <w:p w:rsidR="0015237E" w:rsidRPr="00F30F56" w:rsidRDefault="0015237E" w:rsidP="00F30F56">
            <w:pPr>
              <w:pStyle w:val="TableParagraph"/>
              <w:ind w:right="-24"/>
              <w:rPr>
                <w:sz w:val="24"/>
                <w:szCs w:val="24"/>
              </w:rPr>
            </w:pPr>
          </w:p>
        </w:tc>
        <w:tc>
          <w:tcPr>
            <w:tcW w:w="1774" w:type="dxa"/>
            <w:tcBorders>
              <w:top w:val="nil"/>
              <w:left w:val="nil"/>
              <w:bottom w:val="nil"/>
            </w:tcBorders>
          </w:tcPr>
          <w:p w:rsidR="0015237E" w:rsidRPr="00F30F56" w:rsidRDefault="00345ED1" w:rsidP="00F30F56">
            <w:pPr>
              <w:pStyle w:val="TableParagraph"/>
              <w:spacing w:before="101"/>
              <w:ind w:right="-24"/>
              <w:rPr>
                <w:sz w:val="24"/>
                <w:szCs w:val="24"/>
              </w:rPr>
            </w:pPr>
            <w:r w:rsidRPr="00F30F56">
              <w:rPr>
                <w:sz w:val="24"/>
                <w:szCs w:val="24"/>
              </w:rPr>
              <w:t>Sig. (2-tailed)</w:t>
            </w:r>
          </w:p>
        </w:tc>
        <w:tc>
          <w:tcPr>
            <w:tcW w:w="859" w:type="dxa"/>
            <w:tcBorders>
              <w:top w:val="nil"/>
              <w:bottom w:val="nil"/>
              <w:right w:val="single" w:sz="8" w:space="0" w:color="000000"/>
            </w:tcBorders>
          </w:tcPr>
          <w:p w:rsidR="0015237E" w:rsidRPr="00F30F56" w:rsidRDefault="0015237E" w:rsidP="00F30F56">
            <w:pPr>
              <w:pStyle w:val="TableParagraph"/>
              <w:ind w:right="-24"/>
              <w:rPr>
                <w:sz w:val="24"/>
                <w:szCs w:val="24"/>
              </w:rPr>
            </w:pPr>
          </w:p>
        </w:tc>
        <w:tc>
          <w:tcPr>
            <w:tcW w:w="857" w:type="dxa"/>
            <w:tcBorders>
              <w:top w:val="nil"/>
              <w:left w:val="single" w:sz="8" w:space="0" w:color="000000"/>
              <w:bottom w:val="nil"/>
            </w:tcBorders>
          </w:tcPr>
          <w:p w:rsidR="0015237E" w:rsidRPr="00F30F56" w:rsidRDefault="00345ED1" w:rsidP="00F30F56">
            <w:pPr>
              <w:pStyle w:val="TableParagraph"/>
              <w:spacing w:before="154"/>
              <w:ind w:right="-24"/>
              <w:rPr>
                <w:sz w:val="24"/>
                <w:szCs w:val="24"/>
              </w:rPr>
            </w:pPr>
            <w:r w:rsidRPr="00F30F56">
              <w:rPr>
                <w:sz w:val="24"/>
                <w:szCs w:val="24"/>
              </w:rPr>
              <w:t>.436</w:t>
            </w:r>
          </w:p>
        </w:tc>
      </w:tr>
      <w:tr w:rsidR="0015237E" w:rsidRPr="00F30F56">
        <w:trPr>
          <w:trHeight w:val="347"/>
        </w:trPr>
        <w:tc>
          <w:tcPr>
            <w:tcW w:w="545" w:type="dxa"/>
            <w:tcBorders>
              <w:top w:val="nil"/>
              <w:bottom w:val="single" w:sz="8" w:space="0" w:color="000000"/>
              <w:right w:val="nil"/>
            </w:tcBorders>
          </w:tcPr>
          <w:p w:rsidR="0015237E" w:rsidRPr="00F30F56" w:rsidRDefault="0015237E" w:rsidP="00F30F56">
            <w:pPr>
              <w:pStyle w:val="TableParagraph"/>
              <w:ind w:right="-24"/>
              <w:rPr>
                <w:sz w:val="24"/>
                <w:szCs w:val="24"/>
              </w:rPr>
            </w:pPr>
          </w:p>
        </w:tc>
        <w:tc>
          <w:tcPr>
            <w:tcW w:w="1774" w:type="dxa"/>
            <w:tcBorders>
              <w:top w:val="nil"/>
              <w:left w:val="nil"/>
              <w:bottom w:val="single" w:sz="8" w:space="0" w:color="000000"/>
            </w:tcBorders>
          </w:tcPr>
          <w:p w:rsidR="0015237E" w:rsidRPr="00F30F56" w:rsidRDefault="00345ED1" w:rsidP="00F30F56">
            <w:pPr>
              <w:pStyle w:val="TableParagraph"/>
              <w:spacing w:before="43"/>
              <w:ind w:right="-24"/>
              <w:rPr>
                <w:sz w:val="24"/>
                <w:szCs w:val="24"/>
              </w:rPr>
            </w:pPr>
            <w:r w:rsidRPr="00F30F56">
              <w:rPr>
                <w:sz w:val="24"/>
                <w:szCs w:val="24"/>
              </w:rPr>
              <w:t>N</w:t>
            </w:r>
          </w:p>
        </w:tc>
        <w:tc>
          <w:tcPr>
            <w:tcW w:w="859" w:type="dxa"/>
            <w:tcBorders>
              <w:top w:val="nil"/>
              <w:bottom w:val="single" w:sz="8" w:space="0" w:color="000000"/>
              <w:right w:val="single" w:sz="8" w:space="0" w:color="000000"/>
            </w:tcBorders>
          </w:tcPr>
          <w:p w:rsidR="0015237E" w:rsidRPr="00F30F56" w:rsidRDefault="00345ED1" w:rsidP="00F30F56">
            <w:pPr>
              <w:pStyle w:val="TableParagraph"/>
              <w:spacing w:before="100"/>
              <w:ind w:right="-24"/>
              <w:rPr>
                <w:sz w:val="24"/>
                <w:szCs w:val="24"/>
              </w:rPr>
            </w:pPr>
            <w:r w:rsidRPr="00F30F56">
              <w:rPr>
                <w:sz w:val="24"/>
                <w:szCs w:val="24"/>
              </w:rPr>
              <w:t>21</w:t>
            </w:r>
          </w:p>
        </w:tc>
        <w:tc>
          <w:tcPr>
            <w:tcW w:w="857" w:type="dxa"/>
            <w:tcBorders>
              <w:top w:val="nil"/>
              <w:left w:val="single" w:sz="8" w:space="0" w:color="000000"/>
              <w:bottom w:val="single" w:sz="8" w:space="0" w:color="000000"/>
            </w:tcBorders>
          </w:tcPr>
          <w:p w:rsidR="0015237E" w:rsidRPr="00F30F56" w:rsidRDefault="00345ED1" w:rsidP="00F30F56">
            <w:pPr>
              <w:pStyle w:val="TableParagraph"/>
              <w:spacing w:before="100"/>
              <w:ind w:right="-24"/>
              <w:rPr>
                <w:sz w:val="24"/>
                <w:szCs w:val="24"/>
              </w:rPr>
            </w:pPr>
            <w:r w:rsidRPr="00F30F56">
              <w:rPr>
                <w:sz w:val="24"/>
                <w:szCs w:val="24"/>
              </w:rPr>
              <w:t>21</w:t>
            </w:r>
          </w:p>
        </w:tc>
      </w:tr>
      <w:tr w:rsidR="0015237E" w:rsidRPr="00F30F56">
        <w:trPr>
          <w:trHeight w:val="445"/>
        </w:trPr>
        <w:tc>
          <w:tcPr>
            <w:tcW w:w="545" w:type="dxa"/>
            <w:tcBorders>
              <w:top w:val="single" w:sz="8" w:space="0" w:color="000000"/>
              <w:bottom w:val="nil"/>
              <w:right w:val="nil"/>
            </w:tcBorders>
          </w:tcPr>
          <w:p w:rsidR="0015237E" w:rsidRPr="00F30F56" w:rsidRDefault="00345ED1" w:rsidP="00F30F56">
            <w:pPr>
              <w:pStyle w:val="TableParagraph"/>
              <w:spacing w:line="223" w:lineRule="exact"/>
              <w:ind w:right="-24"/>
              <w:rPr>
                <w:sz w:val="24"/>
                <w:szCs w:val="24"/>
              </w:rPr>
            </w:pPr>
            <w:r w:rsidRPr="00F30F56">
              <w:rPr>
                <w:sz w:val="24"/>
                <w:szCs w:val="24"/>
              </w:rPr>
              <w:t>FCIst</w:t>
            </w:r>
          </w:p>
        </w:tc>
        <w:tc>
          <w:tcPr>
            <w:tcW w:w="1774" w:type="dxa"/>
            <w:tcBorders>
              <w:top w:val="single" w:sz="8" w:space="0" w:color="000000"/>
              <w:left w:val="nil"/>
              <w:bottom w:val="nil"/>
            </w:tcBorders>
          </w:tcPr>
          <w:p w:rsidR="0015237E" w:rsidRPr="00F30F56" w:rsidRDefault="00345ED1" w:rsidP="00F30F56">
            <w:pPr>
              <w:pStyle w:val="TableParagraph"/>
              <w:spacing w:line="178" w:lineRule="exact"/>
              <w:ind w:right="-24"/>
              <w:rPr>
                <w:sz w:val="24"/>
                <w:szCs w:val="24"/>
              </w:rPr>
            </w:pPr>
            <w:r w:rsidRPr="00F30F56">
              <w:rPr>
                <w:sz w:val="24"/>
                <w:szCs w:val="24"/>
              </w:rPr>
              <w:t>Pearson Correlation</w:t>
            </w:r>
          </w:p>
        </w:tc>
        <w:tc>
          <w:tcPr>
            <w:tcW w:w="859" w:type="dxa"/>
            <w:tcBorders>
              <w:top w:val="single" w:sz="8" w:space="0" w:color="000000"/>
              <w:bottom w:val="nil"/>
              <w:right w:val="single" w:sz="8" w:space="0" w:color="000000"/>
            </w:tcBorders>
          </w:tcPr>
          <w:p w:rsidR="0015237E" w:rsidRPr="00F30F56" w:rsidRDefault="00345ED1" w:rsidP="00F30F56">
            <w:pPr>
              <w:pStyle w:val="TableParagraph"/>
              <w:spacing w:before="157"/>
              <w:ind w:right="-24"/>
              <w:rPr>
                <w:sz w:val="24"/>
                <w:szCs w:val="24"/>
              </w:rPr>
            </w:pPr>
            <w:r w:rsidRPr="00F30F56">
              <w:rPr>
                <w:sz w:val="24"/>
                <w:szCs w:val="24"/>
              </w:rPr>
              <w:t>-.179</w:t>
            </w:r>
          </w:p>
        </w:tc>
        <w:tc>
          <w:tcPr>
            <w:tcW w:w="857" w:type="dxa"/>
            <w:tcBorders>
              <w:top w:val="single" w:sz="8" w:space="0" w:color="000000"/>
              <w:left w:val="single" w:sz="8" w:space="0" w:color="000000"/>
              <w:bottom w:val="nil"/>
            </w:tcBorders>
          </w:tcPr>
          <w:p w:rsidR="0015237E" w:rsidRPr="00F30F56" w:rsidRDefault="00345ED1" w:rsidP="00F30F56">
            <w:pPr>
              <w:pStyle w:val="TableParagraph"/>
              <w:spacing w:before="157"/>
              <w:ind w:right="-24"/>
              <w:rPr>
                <w:sz w:val="24"/>
                <w:szCs w:val="24"/>
              </w:rPr>
            </w:pPr>
            <w:r w:rsidRPr="00F30F56">
              <w:rPr>
                <w:sz w:val="24"/>
                <w:szCs w:val="24"/>
              </w:rPr>
              <w:t>1</w:t>
            </w:r>
          </w:p>
        </w:tc>
      </w:tr>
      <w:tr w:rsidR="0015237E" w:rsidRPr="00F30F56">
        <w:trPr>
          <w:trHeight w:val="395"/>
        </w:trPr>
        <w:tc>
          <w:tcPr>
            <w:tcW w:w="545" w:type="dxa"/>
            <w:tcBorders>
              <w:top w:val="nil"/>
              <w:bottom w:val="nil"/>
              <w:right w:val="nil"/>
            </w:tcBorders>
          </w:tcPr>
          <w:p w:rsidR="0015237E" w:rsidRPr="00F30F56" w:rsidRDefault="0015237E" w:rsidP="00F30F56">
            <w:pPr>
              <w:pStyle w:val="TableParagraph"/>
              <w:ind w:right="-24"/>
              <w:rPr>
                <w:sz w:val="24"/>
                <w:szCs w:val="24"/>
              </w:rPr>
            </w:pPr>
          </w:p>
        </w:tc>
        <w:tc>
          <w:tcPr>
            <w:tcW w:w="1774" w:type="dxa"/>
            <w:tcBorders>
              <w:top w:val="nil"/>
              <w:left w:val="nil"/>
              <w:bottom w:val="nil"/>
            </w:tcBorders>
          </w:tcPr>
          <w:p w:rsidR="0015237E" w:rsidRPr="00F30F56" w:rsidRDefault="00345ED1" w:rsidP="00F30F56">
            <w:pPr>
              <w:pStyle w:val="TableParagraph"/>
              <w:spacing w:before="98"/>
              <w:ind w:right="-24"/>
              <w:rPr>
                <w:sz w:val="24"/>
                <w:szCs w:val="24"/>
              </w:rPr>
            </w:pPr>
            <w:r w:rsidRPr="00F30F56">
              <w:rPr>
                <w:sz w:val="24"/>
                <w:szCs w:val="24"/>
              </w:rPr>
              <w:t>Sig. (2-tailed)</w:t>
            </w:r>
          </w:p>
        </w:tc>
        <w:tc>
          <w:tcPr>
            <w:tcW w:w="859" w:type="dxa"/>
            <w:tcBorders>
              <w:top w:val="nil"/>
              <w:bottom w:val="nil"/>
              <w:right w:val="single" w:sz="8" w:space="0" w:color="000000"/>
            </w:tcBorders>
          </w:tcPr>
          <w:p w:rsidR="0015237E" w:rsidRPr="00F30F56" w:rsidRDefault="00345ED1" w:rsidP="00F30F56">
            <w:pPr>
              <w:pStyle w:val="TableParagraph"/>
              <w:spacing w:before="158"/>
              <w:ind w:right="-24"/>
              <w:rPr>
                <w:sz w:val="24"/>
                <w:szCs w:val="24"/>
              </w:rPr>
            </w:pPr>
            <w:r w:rsidRPr="00F30F56">
              <w:rPr>
                <w:sz w:val="24"/>
                <w:szCs w:val="24"/>
              </w:rPr>
              <w:t>.436</w:t>
            </w:r>
          </w:p>
        </w:tc>
        <w:tc>
          <w:tcPr>
            <w:tcW w:w="857" w:type="dxa"/>
            <w:tcBorders>
              <w:top w:val="nil"/>
              <w:left w:val="single" w:sz="8" w:space="0" w:color="000000"/>
              <w:bottom w:val="nil"/>
            </w:tcBorders>
          </w:tcPr>
          <w:p w:rsidR="0015237E" w:rsidRPr="00F30F56" w:rsidRDefault="0015237E" w:rsidP="00F30F56">
            <w:pPr>
              <w:pStyle w:val="TableParagraph"/>
              <w:ind w:right="-24"/>
              <w:rPr>
                <w:sz w:val="24"/>
                <w:szCs w:val="24"/>
              </w:rPr>
            </w:pPr>
          </w:p>
        </w:tc>
      </w:tr>
      <w:tr w:rsidR="0015237E" w:rsidRPr="00F30F56">
        <w:trPr>
          <w:trHeight w:val="336"/>
        </w:trPr>
        <w:tc>
          <w:tcPr>
            <w:tcW w:w="545" w:type="dxa"/>
            <w:tcBorders>
              <w:top w:val="nil"/>
              <w:right w:val="nil"/>
            </w:tcBorders>
          </w:tcPr>
          <w:p w:rsidR="0015237E" w:rsidRPr="00F30F56" w:rsidRDefault="0015237E" w:rsidP="00F30F56">
            <w:pPr>
              <w:pStyle w:val="TableParagraph"/>
              <w:ind w:right="-24"/>
              <w:rPr>
                <w:sz w:val="24"/>
                <w:szCs w:val="24"/>
              </w:rPr>
            </w:pPr>
          </w:p>
        </w:tc>
        <w:tc>
          <w:tcPr>
            <w:tcW w:w="1774" w:type="dxa"/>
            <w:tcBorders>
              <w:top w:val="nil"/>
              <w:left w:val="nil"/>
            </w:tcBorders>
          </w:tcPr>
          <w:p w:rsidR="0015237E" w:rsidRPr="00F30F56" w:rsidRDefault="00345ED1" w:rsidP="00F30F56">
            <w:pPr>
              <w:pStyle w:val="TableParagraph"/>
              <w:spacing w:before="46"/>
              <w:ind w:right="-24"/>
              <w:rPr>
                <w:sz w:val="24"/>
                <w:szCs w:val="24"/>
              </w:rPr>
            </w:pPr>
            <w:r w:rsidRPr="00F30F56">
              <w:rPr>
                <w:sz w:val="24"/>
                <w:szCs w:val="24"/>
              </w:rPr>
              <w:t>N</w:t>
            </w:r>
          </w:p>
        </w:tc>
        <w:tc>
          <w:tcPr>
            <w:tcW w:w="859" w:type="dxa"/>
            <w:tcBorders>
              <w:top w:val="nil"/>
              <w:right w:val="single" w:sz="8" w:space="0" w:color="000000"/>
            </w:tcBorders>
          </w:tcPr>
          <w:p w:rsidR="0015237E" w:rsidRPr="00F30F56" w:rsidRDefault="00345ED1" w:rsidP="00F30F56">
            <w:pPr>
              <w:pStyle w:val="TableParagraph"/>
              <w:spacing w:before="97"/>
              <w:ind w:right="-24"/>
              <w:rPr>
                <w:sz w:val="24"/>
                <w:szCs w:val="24"/>
              </w:rPr>
            </w:pPr>
            <w:r w:rsidRPr="00F30F56">
              <w:rPr>
                <w:sz w:val="24"/>
                <w:szCs w:val="24"/>
              </w:rPr>
              <w:t>21</w:t>
            </w:r>
          </w:p>
        </w:tc>
        <w:tc>
          <w:tcPr>
            <w:tcW w:w="857" w:type="dxa"/>
            <w:tcBorders>
              <w:top w:val="nil"/>
              <w:left w:val="single" w:sz="8" w:space="0" w:color="000000"/>
            </w:tcBorders>
          </w:tcPr>
          <w:p w:rsidR="0015237E" w:rsidRPr="00F30F56" w:rsidRDefault="00345ED1" w:rsidP="00F30F56">
            <w:pPr>
              <w:pStyle w:val="TableParagraph"/>
              <w:spacing w:before="97"/>
              <w:ind w:right="-24"/>
              <w:rPr>
                <w:sz w:val="24"/>
                <w:szCs w:val="24"/>
              </w:rPr>
            </w:pPr>
            <w:r w:rsidRPr="00F30F56">
              <w:rPr>
                <w:sz w:val="24"/>
                <w:szCs w:val="24"/>
              </w:rPr>
              <w:t>21</w:t>
            </w:r>
          </w:p>
        </w:tc>
      </w:tr>
    </w:tbl>
    <w:p w:rsidR="0015237E" w:rsidRPr="00F30F56" w:rsidRDefault="00345ED1" w:rsidP="00FF7700">
      <w:pPr>
        <w:ind w:right="-24"/>
        <w:rPr>
          <w:sz w:val="24"/>
          <w:szCs w:val="24"/>
        </w:rPr>
      </w:pPr>
      <w:r w:rsidRPr="00F30F56">
        <w:rPr>
          <w:sz w:val="24"/>
          <w:szCs w:val="24"/>
        </w:rPr>
        <w:t>Data Source: World Bank Open Data (www.worldbank.org)</w:t>
      </w:r>
    </w:p>
    <w:p w:rsidR="00530B3D" w:rsidRPr="00F30F56" w:rsidRDefault="00345ED1" w:rsidP="00F30F56">
      <w:pPr>
        <w:pStyle w:val="BodyText"/>
        <w:spacing w:before="138"/>
        <w:ind w:left="0" w:right="-24"/>
        <w:rPr>
          <w:sz w:val="24"/>
          <w:szCs w:val="24"/>
        </w:rPr>
      </w:pPr>
      <w:r w:rsidRPr="00F30F56">
        <w:rPr>
          <w:sz w:val="24"/>
          <w:szCs w:val="24"/>
        </w:rPr>
        <w:t xml:space="preserve">In table 1.2., the Pearson‟s coefficient of correlation is generated between the FCI (constructed by incorporating stock prices with two monetary variables) and CPI. The value of coefficient (-0.179) shows that there is an inverse but weak correlation exists between FCI and the CPI. The negative, but insignificant correlation highlights the fact that in Indian context, as far as the share values are concerned, not much of its volatility impact the general price fluctuations. This may be because of two probable reasons, first, a rising (or falling) share value (equity prices) does not impact the household consumption decisions at a macro level. In such case, Aggregate Demand (AD) may not be impacted by the share values, and naturally, inflation rate of the </w:t>
      </w:r>
      <w:r w:rsidRPr="00F30F56">
        <w:rPr>
          <w:sz w:val="24"/>
          <w:szCs w:val="24"/>
        </w:rPr>
        <w:lastRenderedPageBreak/>
        <w:t>economy. The second reason is much of the inflation may stem from shocks to the Aggregate Supply (AS) side of the Indian</w:t>
      </w:r>
      <w:r w:rsidRPr="00F30F56">
        <w:rPr>
          <w:spacing w:val="-2"/>
          <w:sz w:val="24"/>
          <w:szCs w:val="24"/>
        </w:rPr>
        <w:t xml:space="preserve"> </w:t>
      </w:r>
      <w:r w:rsidRPr="00F30F56">
        <w:rPr>
          <w:sz w:val="24"/>
          <w:szCs w:val="24"/>
        </w:rPr>
        <w:t>economy.</w:t>
      </w:r>
    </w:p>
    <w:p w:rsidR="0015237E" w:rsidRPr="00F30F56" w:rsidRDefault="00345ED1" w:rsidP="00F30F56">
      <w:pPr>
        <w:pStyle w:val="Heading1"/>
        <w:numPr>
          <w:ilvl w:val="0"/>
          <w:numId w:val="2"/>
        </w:numPr>
        <w:tabs>
          <w:tab w:val="left" w:pos="1775"/>
        </w:tabs>
        <w:spacing w:before="165"/>
        <w:ind w:left="0" w:right="-24" w:hanging="271"/>
        <w:jc w:val="left"/>
        <w:rPr>
          <w:sz w:val="24"/>
          <w:szCs w:val="24"/>
        </w:rPr>
      </w:pPr>
      <w:r w:rsidRPr="00F30F56">
        <w:rPr>
          <w:sz w:val="24"/>
          <w:szCs w:val="24"/>
        </w:rPr>
        <w:t>CONCLUSION</w:t>
      </w:r>
    </w:p>
    <w:p w:rsidR="0015237E" w:rsidRPr="00F30F56" w:rsidRDefault="00345ED1" w:rsidP="00F30F56">
      <w:pPr>
        <w:pStyle w:val="BodyText"/>
        <w:spacing w:before="154"/>
        <w:ind w:left="0" w:right="-24"/>
        <w:rPr>
          <w:sz w:val="24"/>
          <w:szCs w:val="24"/>
        </w:rPr>
      </w:pPr>
      <w:r w:rsidRPr="00F30F56">
        <w:rPr>
          <w:sz w:val="24"/>
          <w:szCs w:val="24"/>
        </w:rPr>
        <w:t>The existing literature on macroeconomic policy in the context of Indian economy provides us with sufficient ideas that macroeconomic stability, in terms of inflation rate, needs to be monitored and managed not just in terms of manipulation of short term rate of interest and exchange rate by through a closer look at prices of various financial assets as well. However, it is an interesting exercise to compare and therefore, identify which one, among the various financial variables, impact the inflation rate more significantly. This paper indicates that between Broad Money (M</w:t>
      </w:r>
      <w:r w:rsidRPr="00F30F56">
        <w:rPr>
          <w:sz w:val="24"/>
          <w:szCs w:val="24"/>
          <w:vertAlign w:val="subscript"/>
        </w:rPr>
        <w:t>3</w:t>
      </w:r>
      <w:r w:rsidRPr="00F30F56">
        <w:rPr>
          <w:sz w:val="24"/>
          <w:szCs w:val="24"/>
        </w:rPr>
        <w:t>) Supply and Prices of Shares of Stock (equity price), the former has greater impact in influencing the inflation rate. Such findings, may be useful in future in monetary policy management and its</w:t>
      </w:r>
      <w:r w:rsidRPr="00F30F56">
        <w:rPr>
          <w:spacing w:val="-5"/>
          <w:sz w:val="24"/>
          <w:szCs w:val="24"/>
        </w:rPr>
        <w:t xml:space="preserve"> </w:t>
      </w:r>
      <w:r w:rsidRPr="00F30F56">
        <w:rPr>
          <w:sz w:val="24"/>
          <w:szCs w:val="24"/>
        </w:rPr>
        <w:t>implementations.</w:t>
      </w:r>
    </w:p>
    <w:p w:rsidR="0015237E" w:rsidRPr="00F30F56" w:rsidRDefault="0015237E" w:rsidP="00F30F56">
      <w:pPr>
        <w:pStyle w:val="BodyText"/>
        <w:spacing w:before="3"/>
        <w:ind w:left="0" w:right="-24"/>
        <w:jc w:val="left"/>
        <w:rPr>
          <w:sz w:val="24"/>
          <w:szCs w:val="24"/>
        </w:rPr>
      </w:pPr>
    </w:p>
    <w:p w:rsidR="0015237E" w:rsidRPr="00F30F56" w:rsidRDefault="00345ED1" w:rsidP="00F30F56">
      <w:pPr>
        <w:pStyle w:val="Heading1"/>
        <w:ind w:left="0" w:right="-24"/>
        <w:rPr>
          <w:sz w:val="24"/>
          <w:szCs w:val="24"/>
        </w:rPr>
      </w:pPr>
      <w:r w:rsidRPr="00F30F56">
        <w:rPr>
          <w:sz w:val="24"/>
          <w:szCs w:val="24"/>
        </w:rPr>
        <w:t>REFERENCES</w:t>
      </w:r>
    </w:p>
    <w:p w:rsidR="0015237E" w:rsidRPr="00F30F56" w:rsidRDefault="00345ED1" w:rsidP="00F30F56">
      <w:pPr>
        <w:pStyle w:val="ListParagraph"/>
        <w:numPr>
          <w:ilvl w:val="0"/>
          <w:numId w:val="1"/>
        </w:numPr>
        <w:tabs>
          <w:tab w:val="left" w:pos="601"/>
        </w:tabs>
        <w:spacing w:before="158"/>
        <w:ind w:left="0" w:right="-24"/>
        <w:jc w:val="both"/>
        <w:rPr>
          <w:sz w:val="24"/>
          <w:szCs w:val="24"/>
        </w:rPr>
      </w:pPr>
      <w:r w:rsidRPr="00F30F56">
        <w:rPr>
          <w:sz w:val="24"/>
          <w:szCs w:val="24"/>
        </w:rPr>
        <w:t xml:space="preserve">Alchian </w:t>
      </w:r>
      <w:r w:rsidRPr="00F30F56">
        <w:rPr>
          <w:spacing w:val="-3"/>
          <w:sz w:val="24"/>
          <w:szCs w:val="24"/>
        </w:rPr>
        <w:t xml:space="preserve">AA, </w:t>
      </w:r>
      <w:r w:rsidRPr="00F30F56">
        <w:rPr>
          <w:sz w:val="24"/>
          <w:szCs w:val="24"/>
        </w:rPr>
        <w:t xml:space="preserve">Klein B. On a correct measure of inflation. Journal of Money, Credit and Banking. 1973 </w:t>
      </w:r>
      <w:r w:rsidRPr="00F30F56">
        <w:rPr>
          <w:spacing w:val="-2"/>
          <w:sz w:val="24"/>
          <w:szCs w:val="24"/>
        </w:rPr>
        <w:t xml:space="preserve">Feb </w:t>
      </w:r>
      <w:r w:rsidRPr="00F30F56">
        <w:rPr>
          <w:sz w:val="24"/>
          <w:szCs w:val="24"/>
        </w:rPr>
        <w:t>1;5(1):173-91.</w:t>
      </w:r>
    </w:p>
    <w:p w:rsidR="0015237E" w:rsidRPr="00F30F56" w:rsidRDefault="00345ED1" w:rsidP="00F30F56">
      <w:pPr>
        <w:pStyle w:val="ListParagraph"/>
        <w:numPr>
          <w:ilvl w:val="0"/>
          <w:numId w:val="1"/>
        </w:numPr>
        <w:tabs>
          <w:tab w:val="left" w:pos="601"/>
        </w:tabs>
        <w:ind w:left="0" w:right="-24"/>
        <w:jc w:val="both"/>
        <w:rPr>
          <w:sz w:val="24"/>
          <w:szCs w:val="24"/>
        </w:rPr>
      </w:pPr>
      <w:r w:rsidRPr="00F30F56">
        <w:rPr>
          <w:sz w:val="24"/>
          <w:szCs w:val="24"/>
        </w:rPr>
        <w:t>Ashra S, Chattopadhyay S, Chaudhuri K. Deficit, money and price: The Indian experience. Journal of policy Modeling. 2004 Apr</w:t>
      </w:r>
      <w:r w:rsidRPr="00F30F56">
        <w:rPr>
          <w:spacing w:val="-6"/>
          <w:sz w:val="24"/>
          <w:szCs w:val="24"/>
        </w:rPr>
        <w:t xml:space="preserve"> </w:t>
      </w:r>
      <w:r w:rsidRPr="00F30F56">
        <w:rPr>
          <w:sz w:val="24"/>
          <w:szCs w:val="24"/>
        </w:rPr>
        <w:t>30;26(3):289-99</w:t>
      </w:r>
    </w:p>
    <w:p w:rsidR="0015237E" w:rsidRPr="00F30F56" w:rsidRDefault="00345ED1" w:rsidP="00F30F56">
      <w:pPr>
        <w:pStyle w:val="ListParagraph"/>
        <w:numPr>
          <w:ilvl w:val="0"/>
          <w:numId w:val="1"/>
        </w:numPr>
        <w:tabs>
          <w:tab w:val="left" w:pos="601"/>
        </w:tabs>
        <w:ind w:left="0" w:right="-24"/>
        <w:jc w:val="both"/>
        <w:rPr>
          <w:sz w:val="24"/>
          <w:szCs w:val="24"/>
        </w:rPr>
      </w:pPr>
      <w:r w:rsidRPr="00F30F56">
        <w:rPr>
          <w:sz w:val="24"/>
          <w:szCs w:val="24"/>
        </w:rPr>
        <w:t>Bhattacharya BB. Demand and supply of money in a developing economy: a structural analysis for India. The Review of Economics and Statistics. 1974 Nov</w:t>
      </w:r>
      <w:r w:rsidRPr="00F30F56">
        <w:rPr>
          <w:spacing w:val="-21"/>
          <w:sz w:val="24"/>
          <w:szCs w:val="24"/>
        </w:rPr>
        <w:t xml:space="preserve"> </w:t>
      </w:r>
      <w:r w:rsidRPr="00F30F56">
        <w:rPr>
          <w:sz w:val="24"/>
          <w:szCs w:val="24"/>
        </w:rPr>
        <w:t>1:502-10.</w:t>
      </w:r>
    </w:p>
    <w:p w:rsidR="0015237E" w:rsidRPr="00F30F56" w:rsidRDefault="00345ED1" w:rsidP="00F30F56">
      <w:pPr>
        <w:pStyle w:val="ListParagraph"/>
        <w:numPr>
          <w:ilvl w:val="0"/>
          <w:numId w:val="1"/>
        </w:numPr>
        <w:tabs>
          <w:tab w:val="left" w:pos="601"/>
        </w:tabs>
        <w:ind w:left="0" w:right="-24"/>
        <w:jc w:val="both"/>
        <w:rPr>
          <w:sz w:val="24"/>
          <w:szCs w:val="24"/>
        </w:rPr>
      </w:pPr>
      <w:r w:rsidRPr="00F30F56">
        <w:rPr>
          <w:sz w:val="24"/>
          <w:szCs w:val="24"/>
        </w:rPr>
        <w:t>Canuto O, Cavallari M. Asset prices, macroprudential regulation, and monetary policy. Economic Premise. 2013 May;116.</w:t>
      </w:r>
    </w:p>
    <w:p w:rsidR="0015237E" w:rsidRPr="00F30F56" w:rsidRDefault="00345ED1" w:rsidP="00F30F56">
      <w:pPr>
        <w:pStyle w:val="ListParagraph"/>
        <w:numPr>
          <w:ilvl w:val="0"/>
          <w:numId w:val="1"/>
        </w:numPr>
        <w:tabs>
          <w:tab w:val="left" w:pos="601"/>
        </w:tabs>
        <w:ind w:left="0" w:right="-24"/>
        <w:jc w:val="both"/>
        <w:rPr>
          <w:sz w:val="24"/>
          <w:szCs w:val="24"/>
        </w:rPr>
      </w:pPr>
      <w:r w:rsidRPr="00F30F56">
        <w:rPr>
          <w:sz w:val="24"/>
          <w:szCs w:val="24"/>
        </w:rPr>
        <w:t>Dudley W. Comments on 'Financial Conditions Indexes: A New Look after the Financial Crisis'. Federal Reserve Bank of New York;</w:t>
      </w:r>
      <w:r w:rsidRPr="00F30F56">
        <w:rPr>
          <w:spacing w:val="-5"/>
          <w:sz w:val="24"/>
          <w:szCs w:val="24"/>
        </w:rPr>
        <w:t xml:space="preserve"> </w:t>
      </w:r>
      <w:r w:rsidRPr="00F30F56">
        <w:rPr>
          <w:sz w:val="24"/>
          <w:szCs w:val="24"/>
        </w:rPr>
        <w:t>2010</w:t>
      </w:r>
    </w:p>
    <w:p w:rsidR="0015237E" w:rsidRPr="00F30F56" w:rsidRDefault="00345ED1" w:rsidP="00F30F56">
      <w:pPr>
        <w:pStyle w:val="ListParagraph"/>
        <w:numPr>
          <w:ilvl w:val="0"/>
          <w:numId w:val="1"/>
        </w:numPr>
        <w:tabs>
          <w:tab w:val="left" w:pos="601"/>
        </w:tabs>
        <w:spacing w:before="1"/>
        <w:ind w:left="0" w:right="-24"/>
        <w:jc w:val="both"/>
        <w:rPr>
          <w:sz w:val="24"/>
          <w:szCs w:val="24"/>
        </w:rPr>
      </w:pPr>
      <w:r w:rsidRPr="00F30F56">
        <w:rPr>
          <w:sz w:val="24"/>
          <w:szCs w:val="24"/>
        </w:rPr>
        <w:t xml:space="preserve">Goodhart C, Hofmann B. Asset prices, financial conditions, and the transmission of monetary policy. Inconference on Asset Prices, Exchange Rates, and Monetary Policy, </w:t>
      </w:r>
      <w:r w:rsidRPr="00F30F56">
        <w:rPr>
          <w:sz w:val="24"/>
          <w:szCs w:val="24"/>
        </w:rPr>
        <w:lastRenderedPageBreak/>
        <w:t xml:space="preserve">Stanford University 2001 Mar 2 (pp. </w:t>
      </w:r>
      <w:r w:rsidRPr="00F30F56">
        <w:rPr>
          <w:spacing w:val="2"/>
          <w:sz w:val="24"/>
          <w:szCs w:val="24"/>
        </w:rPr>
        <w:t xml:space="preserve">2- </w:t>
      </w:r>
      <w:r w:rsidRPr="00F30F56">
        <w:rPr>
          <w:sz w:val="24"/>
          <w:szCs w:val="24"/>
        </w:rPr>
        <w:t>3)</w:t>
      </w:r>
    </w:p>
    <w:p w:rsidR="00530B3D" w:rsidRDefault="00345ED1" w:rsidP="00F30F56">
      <w:pPr>
        <w:pStyle w:val="ListParagraph"/>
        <w:numPr>
          <w:ilvl w:val="0"/>
          <w:numId w:val="1"/>
        </w:numPr>
        <w:tabs>
          <w:tab w:val="left" w:pos="601"/>
        </w:tabs>
        <w:ind w:left="0" w:right="-24"/>
        <w:jc w:val="both"/>
        <w:rPr>
          <w:sz w:val="24"/>
          <w:szCs w:val="24"/>
        </w:rPr>
      </w:pPr>
      <w:r w:rsidRPr="00F30F56">
        <w:rPr>
          <w:sz w:val="24"/>
          <w:szCs w:val="24"/>
        </w:rPr>
        <w:t xml:space="preserve">Goodhart C, Hofmann B. Asset prices and the conduct of monetary policy. InSverigesRiksbank and Stockholm School of </w:t>
      </w:r>
    </w:p>
    <w:p w:rsidR="00530B3D" w:rsidRDefault="00530B3D" w:rsidP="00530B3D">
      <w:pPr>
        <w:pStyle w:val="ListParagraph"/>
        <w:tabs>
          <w:tab w:val="left" w:pos="601"/>
        </w:tabs>
        <w:ind w:left="0" w:right="-24" w:firstLine="0"/>
        <w:jc w:val="left"/>
        <w:rPr>
          <w:sz w:val="24"/>
          <w:szCs w:val="24"/>
        </w:rPr>
      </w:pPr>
    </w:p>
    <w:p w:rsidR="0015237E" w:rsidRPr="00F30F56" w:rsidRDefault="00345ED1" w:rsidP="00530B3D">
      <w:pPr>
        <w:pStyle w:val="ListParagraph"/>
        <w:tabs>
          <w:tab w:val="left" w:pos="601"/>
        </w:tabs>
        <w:ind w:left="0" w:right="-24" w:firstLine="0"/>
        <w:jc w:val="left"/>
        <w:rPr>
          <w:sz w:val="24"/>
          <w:szCs w:val="24"/>
        </w:rPr>
      </w:pPr>
      <w:r w:rsidRPr="00F30F56">
        <w:rPr>
          <w:sz w:val="24"/>
          <w:szCs w:val="24"/>
        </w:rPr>
        <w:t>Economics conference on Asset Markets and Monetary Policy, Stockholm, June 2000</w:t>
      </w:r>
      <w:r w:rsidRPr="00F30F56">
        <w:rPr>
          <w:spacing w:val="-8"/>
          <w:sz w:val="24"/>
          <w:szCs w:val="24"/>
        </w:rPr>
        <w:t xml:space="preserve"> </w:t>
      </w:r>
      <w:r w:rsidRPr="00F30F56">
        <w:rPr>
          <w:sz w:val="24"/>
          <w:szCs w:val="24"/>
        </w:rPr>
        <w:t>Jun.</w:t>
      </w:r>
    </w:p>
    <w:p w:rsidR="0015237E" w:rsidRPr="00F30F56" w:rsidRDefault="00345ED1" w:rsidP="00F30F56">
      <w:pPr>
        <w:pStyle w:val="ListParagraph"/>
        <w:numPr>
          <w:ilvl w:val="0"/>
          <w:numId w:val="1"/>
        </w:numPr>
        <w:tabs>
          <w:tab w:val="left" w:pos="601"/>
        </w:tabs>
        <w:ind w:left="0" w:right="-24"/>
        <w:jc w:val="both"/>
        <w:rPr>
          <w:sz w:val="24"/>
          <w:szCs w:val="24"/>
        </w:rPr>
      </w:pPr>
      <w:r w:rsidRPr="00F30F56">
        <w:rPr>
          <w:sz w:val="24"/>
          <w:szCs w:val="24"/>
        </w:rPr>
        <w:t>Hatzius J, Hooper P, Mishkin FS, Schoenholtz KL, Watson MW. Financial conditions indexes: A fresh look after the financial crisis. National Bureau of Economic Research; 2010 Jul</w:t>
      </w:r>
      <w:r w:rsidRPr="00F30F56">
        <w:rPr>
          <w:spacing w:val="-7"/>
          <w:sz w:val="24"/>
          <w:szCs w:val="24"/>
        </w:rPr>
        <w:t xml:space="preserve"> </w:t>
      </w:r>
      <w:r w:rsidRPr="00F30F56">
        <w:rPr>
          <w:sz w:val="24"/>
          <w:szCs w:val="24"/>
        </w:rPr>
        <w:t>1.</w:t>
      </w:r>
    </w:p>
    <w:p w:rsidR="0015237E" w:rsidRPr="00F30F56" w:rsidRDefault="00345ED1" w:rsidP="00F30F56">
      <w:pPr>
        <w:pStyle w:val="ListParagraph"/>
        <w:numPr>
          <w:ilvl w:val="0"/>
          <w:numId w:val="1"/>
        </w:numPr>
        <w:tabs>
          <w:tab w:val="left" w:pos="601"/>
        </w:tabs>
        <w:ind w:left="0" w:right="-24"/>
        <w:jc w:val="both"/>
        <w:rPr>
          <w:sz w:val="24"/>
          <w:szCs w:val="24"/>
        </w:rPr>
      </w:pPr>
      <w:r w:rsidRPr="00F30F56">
        <w:rPr>
          <w:sz w:val="24"/>
          <w:szCs w:val="24"/>
        </w:rPr>
        <w:t>Ramachandran M. Do broad money, output, and prices stand for a stable relationship in India?. Journal of Policy Modeling. 2004 Dec</w:t>
      </w:r>
      <w:r w:rsidRPr="00F30F56">
        <w:rPr>
          <w:spacing w:val="-5"/>
          <w:sz w:val="24"/>
          <w:szCs w:val="24"/>
        </w:rPr>
        <w:t xml:space="preserve"> </w:t>
      </w:r>
      <w:r w:rsidRPr="00F30F56">
        <w:rPr>
          <w:sz w:val="24"/>
          <w:szCs w:val="24"/>
        </w:rPr>
        <w:t>31;26(8):983-1001</w:t>
      </w:r>
    </w:p>
    <w:sectPr w:rsidR="0015237E" w:rsidRPr="00F30F56" w:rsidSect="00F30F56">
      <w:type w:val="continuous"/>
      <w:pgSz w:w="11910" w:h="16840"/>
      <w:pgMar w:top="1440" w:right="864" w:bottom="864" w:left="1440" w:header="144" w:footer="0" w:gutter="0"/>
      <w:cols w:num="2"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EFE" w:rsidRDefault="00BD6EFE" w:rsidP="0015237E">
      <w:r>
        <w:separator/>
      </w:r>
    </w:p>
  </w:endnote>
  <w:endnote w:type="continuationSeparator" w:id="1">
    <w:p w:rsidR="00BD6EFE" w:rsidRDefault="00BD6EFE" w:rsidP="001523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E1C" w:rsidRDefault="00020E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700" w:rsidRDefault="00020E1C">
    <w:pPr>
      <w:pStyle w:val="Footer"/>
      <w:pBdr>
        <w:top w:val="thinThickSmallGap" w:sz="24" w:space="1" w:color="622423" w:themeColor="accent2" w:themeShade="7F"/>
      </w:pBdr>
      <w:rPr>
        <w:rFonts w:asciiTheme="majorHAnsi" w:hAnsiTheme="majorHAnsi"/>
      </w:rPr>
    </w:pPr>
    <w:r>
      <w:rPr>
        <w:rFonts w:ascii="Cambria" w:hAnsi="Cambria"/>
      </w:rPr>
      <w:t>Volume 01, Issue 03, Mar 201</w:t>
    </w:r>
    <w:r w:rsidR="00E57F5A">
      <w:rPr>
        <w:rFonts w:ascii="Cambria" w:hAnsi="Cambria"/>
      </w:rPr>
      <w:t>7</w:t>
    </w:r>
    <w:r w:rsidR="00FF7700">
      <w:rPr>
        <w:rFonts w:ascii="Cambria" w:hAnsi="Cambria"/>
      </w:rPr>
      <w:t xml:space="preserve">                           ISSN 2581 – 4575</w:t>
    </w:r>
    <w:r w:rsidR="00FF7700">
      <w:rPr>
        <w:rFonts w:asciiTheme="majorHAnsi" w:hAnsiTheme="majorHAnsi"/>
      </w:rPr>
      <w:ptab w:relativeTo="margin" w:alignment="right" w:leader="none"/>
    </w:r>
    <w:r w:rsidR="00FF7700">
      <w:rPr>
        <w:rFonts w:asciiTheme="majorHAnsi" w:hAnsiTheme="majorHAnsi"/>
      </w:rPr>
      <w:t xml:space="preserve">Page </w:t>
    </w:r>
    <w:fldSimple w:instr=" PAGE   \* MERGEFORMAT ">
      <w:r w:rsidR="00E57F5A" w:rsidRPr="00E57F5A">
        <w:rPr>
          <w:rFonts w:asciiTheme="majorHAnsi" w:hAnsiTheme="majorHAnsi"/>
          <w:noProof/>
        </w:rPr>
        <w:t>15</w:t>
      </w:r>
    </w:fldSimple>
  </w:p>
  <w:p w:rsidR="00F30F56" w:rsidRDefault="00F30F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E1C" w:rsidRDefault="00020E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EFE" w:rsidRDefault="00BD6EFE" w:rsidP="0015237E">
      <w:r>
        <w:separator/>
      </w:r>
    </w:p>
  </w:footnote>
  <w:footnote w:type="continuationSeparator" w:id="1">
    <w:p w:rsidR="00BD6EFE" w:rsidRDefault="00BD6EFE" w:rsidP="001523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E1C" w:rsidRDefault="00020E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DA" w:rsidRDefault="00FF7700" w:rsidP="00FF7700">
    <w:pPr>
      <w:pStyle w:val="Header"/>
      <w:ind w:left="-864"/>
    </w:pPr>
    <w:r>
      <w:rPr>
        <w:noProof/>
        <w:lang w:bidi="ar-SA"/>
      </w:rPr>
      <w:drawing>
        <wp:inline distT="0" distB="0" distL="0" distR="0">
          <wp:extent cx="6930390" cy="1287143"/>
          <wp:effectExtent l="19050" t="0" r="3810" b="0"/>
          <wp:docPr id="1" name="Picture 1" descr="E:\working directory2\14-07-2018\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ing directory2\14-07-2018\last.JPG"/>
                  <pic:cNvPicPr>
                    <a:picLocks noChangeAspect="1" noChangeArrowheads="1"/>
                  </pic:cNvPicPr>
                </pic:nvPicPr>
                <pic:blipFill>
                  <a:blip r:embed="rId1"/>
                  <a:srcRect/>
                  <a:stretch>
                    <a:fillRect/>
                  </a:stretch>
                </pic:blipFill>
                <pic:spPr bwMode="auto">
                  <a:xfrm>
                    <a:off x="0" y="0"/>
                    <a:ext cx="6953702" cy="1291473"/>
                  </a:xfrm>
                  <a:prstGeom prst="rect">
                    <a:avLst/>
                  </a:prstGeom>
                  <a:noFill/>
                  <a:ln w="9525">
                    <a:noFill/>
                    <a:miter lim="800000"/>
                    <a:headEnd/>
                    <a:tailEnd/>
                  </a:ln>
                </pic:spPr>
              </pic:pic>
            </a:graphicData>
          </a:graphic>
        </wp:inline>
      </w:drawing>
    </w:r>
  </w:p>
  <w:p w:rsidR="0015237E" w:rsidRDefault="006A3ADA" w:rsidP="00F30F56">
    <w:pPr>
      <w:pStyle w:val="BodyText"/>
      <w:spacing w:line="14" w:lineRule="auto"/>
      <w:ind w:left="-1296"/>
      <w:jc w:val="left"/>
    </w:pPr>
    <w:r>
      <w:t xml:space="preserve">                </w:t>
    </w:r>
    <w:r w:rsidR="008A6E6B">
      <w:t xml:space="preserve">       </w:t>
    </w:r>
    <w:r>
      <w:t xml:space="preserve">   </w:t>
    </w:r>
    <w:r w:rsidR="008A6E6B">
      <w:rPr>
        <w:noProof/>
        <w:lang w:bidi="ar-S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E1C" w:rsidRDefault="00020E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49BD"/>
    <w:multiLevelType w:val="hybridMultilevel"/>
    <w:tmpl w:val="92EE507C"/>
    <w:lvl w:ilvl="0" w:tplc="3ADEBCAC">
      <w:start w:val="1"/>
      <w:numFmt w:val="decimal"/>
      <w:lvlText w:val="[%1]"/>
      <w:lvlJc w:val="left"/>
      <w:pPr>
        <w:ind w:left="600" w:hanging="360"/>
        <w:jc w:val="left"/>
      </w:pPr>
      <w:rPr>
        <w:rFonts w:ascii="Times New Roman" w:eastAsia="Times New Roman" w:hAnsi="Times New Roman" w:cs="Times New Roman" w:hint="default"/>
        <w:spacing w:val="-2"/>
        <w:w w:val="100"/>
        <w:sz w:val="16"/>
        <w:szCs w:val="16"/>
        <w:lang w:val="en-US" w:eastAsia="en-US" w:bidi="en-US"/>
      </w:rPr>
    </w:lvl>
    <w:lvl w:ilvl="1" w:tplc="8348F9FE">
      <w:numFmt w:val="bullet"/>
      <w:lvlText w:val="•"/>
      <w:lvlJc w:val="left"/>
      <w:pPr>
        <w:ind w:left="1478" w:hanging="360"/>
      </w:pPr>
      <w:rPr>
        <w:rFonts w:hint="default"/>
        <w:lang w:val="en-US" w:eastAsia="en-US" w:bidi="en-US"/>
      </w:rPr>
    </w:lvl>
    <w:lvl w:ilvl="2" w:tplc="4A5C42C2">
      <w:numFmt w:val="bullet"/>
      <w:lvlText w:val="•"/>
      <w:lvlJc w:val="left"/>
      <w:pPr>
        <w:ind w:left="2357" w:hanging="360"/>
      </w:pPr>
      <w:rPr>
        <w:rFonts w:hint="default"/>
        <w:lang w:val="en-US" w:eastAsia="en-US" w:bidi="en-US"/>
      </w:rPr>
    </w:lvl>
    <w:lvl w:ilvl="3" w:tplc="86748750">
      <w:numFmt w:val="bullet"/>
      <w:lvlText w:val="•"/>
      <w:lvlJc w:val="left"/>
      <w:pPr>
        <w:ind w:left="3235" w:hanging="360"/>
      </w:pPr>
      <w:rPr>
        <w:rFonts w:hint="default"/>
        <w:lang w:val="en-US" w:eastAsia="en-US" w:bidi="en-US"/>
      </w:rPr>
    </w:lvl>
    <w:lvl w:ilvl="4" w:tplc="7D96493E">
      <w:numFmt w:val="bullet"/>
      <w:lvlText w:val="•"/>
      <w:lvlJc w:val="left"/>
      <w:pPr>
        <w:ind w:left="4114" w:hanging="360"/>
      </w:pPr>
      <w:rPr>
        <w:rFonts w:hint="default"/>
        <w:lang w:val="en-US" w:eastAsia="en-US" w:bidi="en-US"/>
      </w:rPr>
    </w:lvl>
    <w:lvl w:ilvl="5" w:tplc="41EC505C">
      <w:numFmt w:val="bullet"/>
      <w:lvlText w:val="•"/>
      <w:lvlJc w:val="left"/>
      <w:pPr>
        <w:ind w:left="4993" w:hanging="360"/>
      </w:pPr>
      <w:rPr>
        <w:rFonts w:hint="default"/>
        <w:lang w:val="en-US" w:eastAsia="en-US" w:bidi="en-US"/>
      </w:rPr>
    </w:lvl>
    <w:lvl w:ilvl="6" w:tplc="7302821E">
      <w:numFmt w:val="bullet"/>
      <w:lvlText w:val="•"/>
      <w:lvlJc w:val="left"/>
      <w:pPr>
        <w:ind w:left="5871" w:hanging="360"/>
      </w:pPr>
      <w:rPr>
        <w:rFonts w:hint="default"/>
        <w:lang w:val="en-US" w:eastAsia="en-US" w:bidi="en-US"/>
      </w:rPr>
    </w:lvl>
    <w:lvl w:ilvl="7" w:tplc="33D4BD0C">
      <w:numFmt w:val="bullet"/>
      <w:lvlText w:val="•"/>
      <w:lvlJc w:val="left"/>
      <w:pPr>
        <w:ind w:left="6750" w:hanging="360"/>
      </w:pPr>
      <w:rPr>
        <w:rFonts w:hint="default"/>
        <w:lang w:val="en-US" w:eastAsia="en-US" w:bidi="en-US"/>
      </w:rPr>
    </w:lvl>
    <w:lvl w:ilvl="8" w:tplc="165C12A8">
      <w:numFmt w:val="bullet"/>
      <w:lvlText w:val="•"/>
      <w:lvlJc w:val="left"/>
      <w:pPr>
        <w:ind w:left="7629" w:hanging="360"/>
      </w:pPr>
      <w:rPr>
        <w:rFonts w:hint="default"/>
        <w:lang w:val="en-US" w:eastAsia="en-US" w:bidi="en-US"/>
      </w:rPr>
    </w:lvl>
  </w:abstractNum>
  <w:abstractNum w:abstractNumId="1">
    <w:nsid w:val="7EF25B5F"/>
    <w:multiLevelType w:val="hybridMultilevel"/>
    <w:tmpl w:val="4280AFE8"/>
    <w:lvl w:ilvl="0" w:tplc="0E482226">
      <w:start w:val="2"/>
      <w:numFmt w:val="upperRoman"/>
      <w:lvlText w:val="%1."/>
      <w:lvlJc w:val="left"/>
      <w:pPr>
        <w:ind w:left="1164" w:hanging="205"/>
        <w:jc w:val="right"/>
      </w:pPr>
      <w:rPr>
        <w:rFonts w:ascii="Times New Roman" w:eastAsia="Times New Roman" w:hAnsi="Times New Roman" w:cs="Times New Roman" w:hint="default"/>
        <w:b/>
        <w:bCs/>
        <w:spacing w:val="-1"/>
        <w:w w:val="99"/>
        <w:sz w:val="18"/>
        <w:szCs w:val="18"/>
        <w:lang w:val="en-US" w:eastAsia="en-US" w:bidi="en-US"/>
      </w:rPr>
    </w:lvl>
    <w:lvl w:ilvl="1" w:tplc="4D4E2D6C">
      <w:numFmt w:val="bullet"/>
      <w:lvlText w:val="•"/>
      <w:lvlJc w:val="left"/>
      <w:pPr>
        <w:ind w:left="1487" w:hanging="205"/>
      </w:pPr>
      <w:rPr>
        <w:rFonts w:hint="default"/>
        <w:lang w:val="en-US" w:eastAsia="en-US" w:bidi="en-US"/>
      </w:rPr>
    </w:lvl>
    <w:lvl w:ilvl="2" w:tplc="DB96AE68">
      <w:numFmt w:val="bullet"/>
      <w:lvlText w:val="•"/>
      <w:lvlJc w:val="left"/>
      <w:pPr>
        <w:ind w:left="1814" w:hanging="205"/>
      </w:pPr>
      <w:rPr>
        <w:rFonts w:hint="default"/>
        <w:lang w:val="en-US" w:eastAsia="en-US" w:bidi="en-US"/>
      </w:rPr>
    </w:lvl>
    <w:lvl w:ilvl="3" w:tplc="74763A52">
      <w:numFmt w:val="bullet"/>
      <w:lvlText w:val="•"/>
      <w:lvlJc w:val="left"/>
      <w:pPr>
        <w:ind w:left="2142" w:hanging="205"/>
      </w:pPr>
      <w:rPr>
        <w:rFonts w:hint="default"/>
        <w:lang w:val="en-US" w:eastAsia="en-US" w:bidi="en-US"/>
      </w:rPr>
    </w:lvl>
    <w:lvl w:ilvl="4" w:tplc="E2D812A2">
      <w:numFmt w:val="bullet"/>
      <w:lvlText w:val="•"/>
      <w:lvlJc w:val="left"/>
      <w:pPr>
        <w:ind w:left="2469" w:hanging="205"/>
      </w:pPr>
      <w:rPr>
        <w:rFonts w:hint="default"/>
        <w:lang w:val="en-US" w:eastAsia="en-US" w:bidi="en-US"/>
      </w:rPr>
    </w:lvl>
    <w:lvl w:ilvl="5" w:tplc="21AE86A4">
      <w:numFmt w:val="bullet"/>
      <w:lvlText w:val="•"/>
      <w:lvlJc w:val="left"/>
      <w:pPr>
        <w:ind w:left="2797" w:hanging="205"/>
      </w:pPr>
      <w:rPr>
        <w:rFonts w:hint="default"/>
        <w:lang w:val="en-US" w:eastAsia="en-US" w:bidi="en-US"/>
      </w:rPr>
    </w:lvl>
    <w:lvl w:ilvl="6" w:tplc="C722EE38">
      <w:numFmt w:val="bullet"/>
      <w:lvlText w:val="•"/>
      <w:lvlJc w:val="left"/>
      <w:pPr>
        <w:ind w:left="3124" w:hanging="205"/>
      </w:pPr>
      <w:rPr>
        <w:rFonts w:hint="default"/>
        <w:lang w:val="en-US" w:eastAsia="en-US" w:bidi="en-US"/>
      </w:rPr>
    </w:lvl>
    <w:lvl w:ilvl="7" w:tplc="89EEDBB4">
      <w:numFmt w:val="bullet"/>
      <w:lvlText w:val="•"/>
      <w:lvlJc w:val="left"/>
      <w:pPr>
        <w:ind w:left="3452" w:hanging="205"/>
      </w:pPr>
      <w:rPr>
        <w:rFonts w:hint="default"/>
        <w:lang w:val="en-US" w:eastAsia="en-US" w:bidi="en-US"/>
      </w:rPr>
    </w:lvl>
    <w:lvl w:ilvl="8" w:tplc="1818CFAA">
      <w:numFmt w:val="bullet"/>
      <w:lvlText w:val="•"/>
      <w:lvlJc w:val="left"/>
      <w:pPr>
        <w:ind w:left="3779" w:hanging="205"/>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lTrailSpace/>
  </w:compat>
  <w:rsids>
    <w:rsidRoot w:val="0015237E"/>
    <w:rsid w:val="00020E1C"/>
    <w:rsid w:val="0015237E"/>
    <w:rsid w:val="00216FB1"/>
    <w:rsid w:val="00345ED1"/>
    <w:rsid w:val="003901D1"/>
    <w:rsid w:val="004A752C"/>
    <w:rsid w:val="00530B3D"/>
    <w:rsid w:val="005C0DE4"/>
    <w:rsid w:val="005D1645"/>
    <w:rsid w:val="00664DF9"/>
    <w:rsid w:val="006A3ADA"/>
    <w:rsid w:val="006C14C6"/>
    <w:rsid w:val="00734AA4"/>
    <w:rsid w:val="007B32F3"/>
    <w:rsid w:val="00815EED"/>
    <w:rsid w:val="00836747"/>
    <w:rsid w:val="008A6E6B"/>
    <w:rsid w:val="00A8711E"/>
    <w:rsid w:val="00B31620"/>
    <w:rsid w:val="00B70CAC"/>
    <w:rsid w:val="00BD6EFE"/>
    <w:rsid w:val="00D42968"/>
    <w:rsid w:val="00E57F5A"/>
    <w:rsid w:val="00EF55BD"/>
    <w:rsid w:val="00F30F56"/>
    <w:rsid w:val="00FF77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237E"/>
    <w:rPr>
      <w:rFonts w:ascii="Times New Roman" w:eastAsia="Times New Roman" w:hAnsi="Times New Roman" w:cs="Times New Roman"/>
      <w:lang w:bidi="en-US"/>
    </w:rPr>
  </w:style>
  <w:style w:type="paragraph" w:styleId="Heading1">
    <w:name w:val="heading 1"/>
    <w:basedOn w:val="Normal"/>
    <w:uiPriority w:val="1"/>
    <w:qFormat/>
    <w:rsid w:val="0015237E"/>
    <w:pPr>
      <w:ind w:left="2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5237E"/>
    <w:pPr>
      <w:ind w:left="240"/>
      <w:jc w:val="both"/>
    </w:pPr>
    <w:rPr>
      <w:sz w:val="20"/>
      <w:szCs w:val="20"/>
    </w:rPr>
  </w:style>
  <w:style w:type="paragraph" w:styleId="ListParagraph">
    <w:name w:val="List Paragraph"/>
    <w:basedOn w:val="Normal"/>
    <w:uiPriority w:val="1"/>
    <w:qFormat/>
    <w:rsid w:val="0015237E"/>
    <w:pPr>
      <w:ind w:left="600" w:right="4994" w:hanging="360"/>
      <w:jc w:val="both"/>
    </w:pPr>
  </w:style>
  <w:style w:type="paragraph" w:customStyle="1" w:styleId="TableParagraph">
    <w:name w:val="Table Paragraph"/>
    <w:basedOn w:val="Normal"/>
    <w:uiPriority w:val="1"/>
    <w:qFormat/>
    <w:rsid w:val="0015237E"/>
  </w:style>
  <w:style w:type="paragraph" w:styleId="Header">
    <w:name w:val="header"/>
    <w:basedOn w:val="Normal"/>
    <w:link w:val="HeaderChar"/>
    <w:uiPriority w:val="99"/>
    <w:unhideWhenUsed/>
    <w:rsid w:val="00216FB1"/>
    <w:pPr>
      <w:tabs>
        <w:tab w:val="center" w:pos="4680"/>
        <w:tab w:val="right" w:pos="9360"/>
      </w:tabs>
    </w:pPr>
  </w:style>
  <w:style w:type="character" w:customStyle="1" w:styleId="HeaderChar">
    <w:name w:val="Header Char"/>
    <w:basedOn w:val="DefaultParagraphFont"/>
    <w:link w:val="Header"/>
    <w:uiPriority w:val="99"/>
    <w:rsid w:val="00216FB1"/>
    <w:rPr>
      <w:rFonts w:ascii="Times New Roman" w:eastAsia="Times New Roman" w:hAnsi="Times New Roman" w:cs="Times New Roman"/>
      <w:lang w:bidi="en-US"/>
    </w:rPr>
  </w:style>
  <w:style w:type="paragraph" w:styleId="Footer">
    <w:name w:val="footer"/>
    <w:basedOn w:val="Normal"/>
    <w:link w:val="FooterChar"/>
    <w:uiPriority w:val="99"/>
    <w:unhideWhenUsed/>
    <w:rsid w:val="00216FB1"/>
    <w:pPr>
      <w:tabs>
        <w:tab w:val="center" w:pos="4680"/>
        <w:tab w:val="right" w:pos="9360"/>
      </w:tabs>
    </w:pPr>
  </w:style>
  <w:style w:type="character" w:customStyle="1" w:styleId="FooterChar">
    <w:name w:val="Footer Char"/>
    <w:basedOn w:val="DefaultParagraphFont"/>
    <w:link w:val="Footer"/>
    <w:uiPriority w:val="99"/>
    <w:rsid w:val="00216FB1"/>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F30F56"/>
    <w:rPr>
      <w:rFonts w:ascii="Tahoma" w:hAnsi="Tahoma" w:cs="Tahoma"/>
      <w:sz w:val="16"/>
      <w:szCs w:val="16"/>
    </w:rPr>
  </w:style>
  <w:style w:type="character" w:customStyle="1" w:styleId="BalloonTextChar">
    <w:name w:val="Balloon Text Char"/>
    <w:basedOn w:val="DefaultParagraphFont"/>
    <w:link w:val="BalloonText"/>
    <w:uiPriority w:val="99"/>
    <w:semiHidden/>
    <w:rsid w:val="00F30F56"/>
    <w:rPr>
      <w:rFonts w:ascii="Tahoma" w:eastAsia="Times New Roman" w:hAnsi="Tahoma" w:cs="Tahoma"/>
      <w:sz w:val="16"/>
      <w:szCs w:val="16"/>
      <w:lang w:bidi="en-US"/>
    </w:rPr>
  </w:style>
  <w:style w:type="character" w:styleId="Hyperlink">
    <w:name w:val="Hyperlink"/>
    <w:basedOn w:val="DefaultParagraphFont"/>
    <w:uiPriority w:val="99"/>
    <w:unhideWhenUsed/>
    <w:rsid w:val="00530B3D"/>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Comparing Impact of Broad Money Supply and Stock Prices on the Inflation Rate through Financial Condition Index in the Context of Indian Economy</vt:lpstr>
    </vt:vector>
  </TitlesOfParts>
  <Company/>
  <LinksUpToDate>false</LinksUpToDate>
  <CharactersWithSpaces>14637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Comparing Impact of Broad Money Supply and Stock Prices on the Inflation Rate through Financial Condition Index in the Context of Indian Economy</dc:title>
  <dc:creator>Sayan Banerjee</dc:creator>
  <cp:lastModifiedBy>Admin</cp:lastModifiedBy>
  <cp:revision>5</cp:revision>
  <dcterms:created xsi:type="dcterms:W3CDTF">2018-04-20T07:51:00Z</dcterms:created>
  <dcterms:modified xsi:type="dcterms:W3CDTF">2019-04-26T04:57:00Z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Creator">
    <vt:lpwstr>Microsoft® Office Word 2007</vt:lpwstr>
  </property>
  <property fmtid="{D5CDD505-2E9C-101B-9397-08002B2CF9AE}" pid="4" name="LastSaved">
    <vt:filetime>2018-01-01T00:00:00Z</vt:filetime>
  </property>
</Properties>
</file>